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May 4, 2026</w:t>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FS BANCORP,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ectPr>
          <w:pgSz w:w="11900" w:h="16838" w:orient="portrait"/>
          <w:cols w:equalWidth="0" w:num="1">
            <w:col w:w="11240"/>
          </w:cols>
          <w:pgMar w:left="320" w:top="216" w:right="339" w:bottom="1440" w:gutter="0" w:footer="0" w:header="0"/>
        </w:sectPr>
      </w:pPr>
    </w:p>
    <w:p>
      <w:pPr>
        <w:spacing w:after="0" w:line="219"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22"/>
          <w:szCs w:val="22"/>
          <w:b w:val="1"/>
          <w:bCs w:val="1"/>
          <w:color w:val="auto"/>
        </w:rPr>
        <w:t>Washington</w:t>
      </w:r>
    </w:p>
    <w:p>
      <w:pPr>
        <w:spacing w:after="0" w:line="18"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21"/>
          <w:szCs w:val="21"/>
          <w:color w:val="auto"/>
        </w:rPr>
        <w:t>(State or other jurisdiction</w:t>
      </w:r>
    </w:p>
    <w:p>
      <w:pPr>
        <w:spacing w:after="0" w:line="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22"/>
          <w:szCs w:val="22"/>
          <w:color w:val="auto"/>
        </w:rPr>
        <w:t>of incorporation)</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22"/>
          <w:szCs w:val="22"/>
          <w:b w:val="1"/>
          <w:bCs w:val="1"/>
          <w:color w:val="auto"/>
        </w:rPr>
        <w:t>001-35589</w:t>
      </w:r>
    </w:p>
    <w:p>
      <w:pPr>
        <w:spacing w:after="0" w:line="18"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21"/>
          <w:szCs w:val="21"/>
          <w:color w:val="auto"/>
        </w:rPr>
        <w:t>(Commission</w:t>
      </w:r>
    </w:p>
    <w:p>
      <w:pPr>
        <w:spacing w:after="0" w:line="2" w:lineRule="exact"/>
        <w:rPr>
          <w:sz w:val="24"/>
          <w:szCs w:val="24"/>
          <w:color w:val="auto"/>
        </w:rPr>
      </w:pPr>
    </w:p>
    <w:p>
      <w:pPr>
        <w:jc w:val="center"/>
        <w:ind w:right="1620"/>
        <w:spacing w:after="0"/>
        <w:rPr>
          <w:sz w:val="20"/>
          <w:szCs w:val="20"/>
          <w:color w:val="auto"/>
        </w:rPr>
      </w:pPr>
      <w:r>
        <w:rPr>
          <w:rFonts w:ascii="Times New Roman" w:cs="Times New Roman" w:eastAsia="Times New Roman" w:hAnsi="Times New Roman"/>
          <w:sz w:val="21"/>
          <w:szCs w:val="21"/>
          <w:color w:val="auto"/>
        </w:rPr>
        <w:t>File Number)</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45-4585178</w:t>
      </w:r>
    </w:p>
    <w:p>
      <w:pPr>
        <w:spacing w:after="0" w:line="8"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2"/>
          <w:szCs w:val="22"/>
          <w:color w:val="auto"/>
        </w:rPr>
        <w:t>(I.R.S. Employer</w:t>
      </w:r>
    </w:p>
    <w:p>
      <w:pPr>
        <w:jc w:val="center"/>
        <w:ind w:right="1060"/>
        <w:spacing w:after="0"/>
        <w:rPr>
          <w:sz w:val="20"/>
          <w:szCs w:val="20"/>
          <w:color w:val="auto"/>
        </w:rPr>
      </w:pPr>
      <w:r>
        <w:rPr>
          <w:rFonts w:ascii="Times New Roman" w:cs="Times New Roman" w:eastAsia="Times New Roman" w:hAnsi="Times New Roman"/>
          <w:sz w:val="21"/>
          <w:szCs w:val="21"/>
          <w:color w:val="auto"/>
        </w:rPr>
        <w:t>Identification No.)</w:t>
      </w:r>
    </w:p>
    <w:p>
      <w:pPr>
        <w:spacing w:after="0" w:line="211" w:lineRule="exact"/>
        <w:rPr>
          <w:sz w:val="24"/>
          <w:szCs w:val="24"/>
          <w:color w:val="auto"/>
        </w:rPr>
      </w:pPr>
    </w:p>
    <w:p>
      <w:pPr>
        <w:sectPr>
          <w:pgSz w:w="11900" w:h="16838" w:orient="portrait"/>
          <w:cols w:equalWidth="0" w:num="3">
            <w:col w:w="4320" w:space="720"/>
            <w:col w:w="2800" w:space="720"/>
            <w:col w:w="2680"/>
          </w:cols>
          <w:pgMar w:left="320" w:top="216" w:right="339" w:bottom="1440" w:gutter="0" w:footer="0" w:header="0"/>
          <w:type w:val="continuous"/>
        </w:sectPr>
      </w:pPr>
    </w:p>
    <w:p>
      <w:pPr>
        <w:spacing w:after="0" w:line="1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22"/>
          <w:szCs w:val="22"/>
          <w:b w:val="1"/>
          <w:bCs w:val="1"/>
          <w:color w:val="auto"/>
        </w:rPr>
        <w:t>6920 220th Street SW</w:t>
      </w:r>
    </w:p>
    <w:p>
      <w:pPr>
        <w:spacing w:after="0" w:line="18"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21"/>
          <w:szCs w:val="21"/>
          <w:b w:val="1"/>
          <w:bCs w:val="1"/>
          <w:color w:val="auto"/>
        </w:rPr>
        <w:t>Mountlake Terrace, Washington</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98043</w:t>
      </w:r>
    </w:p>
    <w:p>
      <w:pPr>
        <w:spacing w:after="0" w:line="45" w:lineRule="exact"/>
        <w:rPr>
          <w:sz w:val="24"/>
          <w:szCs w:val="24"/>
          <w:color w:val="auto"/>
        </w:rPr>
      </w:pPr>
    </w:p>
    <w:p>
      <w:pPr>
        <w:sectPr>
          <w:pgSz w:w="11900" w:h="16838" w:orient="portrait"/>
          <w:cols w:equalWidth="0" w:num="2">
            <w:col w:w="7440" w:space="720"/>
            <w:col w:w="3080"/>
          </w:cols>
          <w:pgMar w:left="320" w:top="216" w:right="33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21"/>
          <w:szCs w:val="2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1"/>
          <w:szCs w:val="21"/>
          <w:color w:val="auto"/>
        </w:rPr>
        <w:t>(Zip Code)</w:t>
      </w:r>
    </w:p>
    <w:p>
      <w:pPr>
        <w:spacing w:after="0" w:line="200" w:lineRule="exact"/>
        <w:rPr>
          <w:sz w:val="24"/>
          <w:szCs w:val="24"/>
          <w:color w:val="auto"/>
        </w:rPr>
      </w:pPr>
    </w:p>
    <w:p>
      <w:pPr>
        <w:sectPr>
          <w:pgSz w:w="11900" w:h="16838" w:orient="portrait"/>
          <w:cols w:equalWidth="0" w:num="2">
            <w:col w:w="7240" w:space="720"/>
            <w:col w:w="3280"/>
          </w:cols>
          <w:pgMar w:left="320" w:top="216" w:right="339" w:bottom="1440" w:gutter="0" w:footer="0" w:header="0"/>
          <w:type w:val="continuous"/>
        </w:sectPr>
      </w:pP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b w:val="1"/>
          <w:bCs w:val="1"/>
          <w:color w:val="auto"/>
        </w:rPr>
        <w:t>(425) 771-5299</w:t>
      </w:r>
    </w:p>
    <w:p>
      <w:pPr>
        <w:spacing w:after="0" w:line="200" w:lineRule="exact"/>
        <w:rPr>
          <w:sz w:val="24"/>
          <w:szCs w:val="24"/>
          <w:color w:val="auto"/>
        </w:rPr>
      </w:pPr>
    </w:p>
    <w:p>
      <w:pPr>
        <w:spacing w:after="0" w:line="267" w:lineRule="exact"/>
        <w:rPr>
          <w:sz w:val="24"/>
          <w:szCs w:val="24"/>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Written communications pursuant to Rule 425 under the Securities Act (17 CFR 230.425)</w:t>
      </w:r>
    </w:p>
    <w:p>
      <w:pPr>
        <w:spacing w:after="0" w:line="21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Soliciting material pursuant to Rule 14a-12 under the Exchange Act (17 CFR 240.14a-12)</w:t>
      </w:r>
    </w:p>
    <w:p>
      <w:pPr>
        <w:spacing w:after="0" w:line="21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Pre-commencement communications pursuant to Rule 14d-2(b) under the Exchange Act (17 CFR 240.14d-2(b))</w:t>
      </w:r>
    </w:p>
    <w:p>
      <w:pPr>
        <w:spacing w:after="0" w:line="21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Pre-commencement communications pursuant to Rule 13e-4(c) under the Exchange Act (17 CFR 240.13e-4(c))</w:t>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48"/>
        </w:trPr>
        <w:tc>
          <w:tcPr>
            <w:tcW w:w="3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r>
      <w:tr>
        <w:trPr>
          <w:trHeight w:val="257"/>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FSBW</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2" w:lineRule="exact"/>
        <w:rPr>
          <w:sz w:val="24"/>
          <w:szCs w:val="24"/>
          <w:color w:val="auto"/>
        </w:rPr>
      </w:pPr>
    </w:p>
    <w:p>
      <w:pPr>
        <w:ind w:right="380"/>
        <w:spacing w:after="0" w:line="236"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ind w:left="8640"/>
        <w:spacing w:after="0" w:line="242" w:lineRule="exact"/>
        <w:rPr>
          <w:sz w:val="20"/>
          <w:szCs w:val="20"/>
          <w:color w:val="auto"/>
        </w:rPr>
      </w:pPr>
      <w:r>
        <w:rPr>
          <w:rFonts w:ascii="Times New Roman" w:cs="Times New Roman" w:eastAsia="Times New Roman" w:hAnsi="Times New Roman"/>
          <w:sz w:val="21"/>
          <w:szCs w:val="21"/>
          <w:color w:val="auto"/>
        </w:rPr>
        <w:t xml:space="preserve">Emerging growth company </w:t>
      </w:r>
      <w:r>
        <w:rPr>
          <w:rFonts w:ascii="MS PGothic" w:cs="MS PGothic" w:eastAsia="MS PGothic" w:hAnsi="MS PGothic"/>
          <w:sz w:val="21"/>
          <w:szCs w:val="21"/>
          <w:color w:val="auto"/>
        </w:rPr>
        <w:t>☐</w:t>
      </w:r>
    </w:p>
    <w:p>
      <w:pPr>
        <w:spacing w:after="0" w:line="131"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21"/>
          <w:szCs w:val="21"/>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7.01 Regulation FD Disclosure.*</w:t>
      </w:r>
    </w:p>
    <w:p>
      <w:pPr>
        <w:spacing w:after="0" w:line="144"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FS Bancorp, Inc.’s President, Matthew D. Mullet, Executive Vice President, Chief Human Resources Officer/WOW! Officer, Vickie A. Jarman and Executive Vice President, Chief Information Officer Shana C. Allen will be attending the D.A.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Davidson 28th Annual Financial Institutions Conference in Nashville, Tennessee, May 4-6, 2026.</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Attached as Exhibit 99.1 is a copy of the investor materials that are being provided in connection with the Conference.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193" w:lineRule="exact"/>
        <w:rPr>
          <w:sz w:val="20"/>
          <w:szCs w:val="20"/>
          <w:color w:val="auto"/>
        </w:rPr>
      </w:pPr>
    </w:p>
    <w:p>
      <w:pPr>
        <w:ind w:left="580" w:hanging="572"/>
        <w:spacing w:after="0"/>
        <w:tabs>
          <w:tab w:leader="none" w:pos="5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5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Exhibit No.</w:t>
            </w:r>
          </w:p>
        </w:tc>
        <w:tc>
          <w:tcPr>
            <w:tcW w:w="9740" w:type="dxa"/>
            <w:vAlign w:val="bottom"/>
            <w:gridSpan w:val="3"/>
          </w:tcPr>
          <w:p>
            <w:pPr>
              <w:ind w:left="340"/>
              <w:spacing w:after="0"/>
              <w:rPr>
                <w:sz w:val="20"/>
                <w:szCs w:val="20"/>
                <w:color w:val="auto"/>
              </w:rPr>
            </w:pPr>
            <w:r>
              <w:rPr>
                <w:rFonts w:ascii="Times New Roman" w:cs="Times New Roman" w:eastAsia="Times New Roman" w:hAnsi="Times New Roman"/>
                <w:sz w:val="22"/>
                <w:szCs w:val="22"/>
                <w:b w:val="1"/>
                <w:bCs w:val="1"/>
                <w:color w:val="auto"/>
              </w:rPr>
              <w:t>Description</w:t>
            </w:r>
          </w:p>
        </w:tc>
      </w:tr>
      <w:tr>
        <w:trPr>
          <w:trHeight w:val="209"/>
        </w:trPr>
        <w:tc>
          <w:tcPr>
            <w:tcW w:w="1500" w:type="dxa"/>
            <w:vAlign w:val="bottom"/>
            <w:tcBorders>
              <w:top w:val="single" w:sz="8" w:color="auto"/>
            </w:tcBorders>
            <w:gridSpan w:val="2"/>
          </w:tcPr>
          <w:p>
            <w:pPr>
              <w:spacing w:after="0" w:line="189" w:lineRule="exact"/>
              <w:rPr>
                <w:sz w:val="20"/>
                <w:szCs w:val="20"/>
                <w:color w:val="auto"/>
              </w:rPr>
            </w:pPr>
            <w:r>
              <w:rPr>
                <w:rFonts w:ascii="Times New Roman" w:cs="Times New Roman" w:eastAsia="Times New Roman" w:hAnsi="Times New Roman"/>
                <w:sz w:val="21"/>
                <w:szCs w:val="21"/>
                <w:color w:val="0000EE"/>
              </w:rPr>
              <w:t>99.</w:t>
            </w:r>
            <w:r>
              <w:rPr>
                <w:rFonts w:ascii="Times New Roman" w:cs="Times New Roman" w:eastAsia="Times New Roman" w:hAnsi="Times New Roman"/>
                <w:sz w:val="21"/>
                <w:szCs w:val="21"/>
                <w:u w:val="single" w:color="auto"/>
                <w:color w:val="0000EE"/>
              </w:rPr>
              <w:t>1</w:t>
            </w:r>
          </w:p>
        </w:tc>
        <w:tc>
          <w:tcPr>
            <w:tcW w:w="340" w:type="dxa"/>
            <w:vAlign w:val="bottom"/>
          </w:tcPr>
          <w:p>
            <w:pPr>
              <w:spacing w:after="0"/>
              <w:rPr>
                <w:sz w:val="18"/>
                <w:szCs w:val="18"/>
                <w:color w:val="auto"/>
              </w:rPr>
            </w:pPr>
          </w:p>
        </w:tc>
        <w:tc>
          <w:tcPr>
            <w:tcW w:w="9400" w:type="dxa"/>
            <w:vAlign w:val="bottom"/>
            <w:tcBorders>
              <w:top w:val="single" w:sz="8" w:color="auto"/>
            </w:tcBorders>
            <w:gridSpan w:val="2"/>
          </w:tcPr>
          <w:p>
            <w:pPr>
              <w:spacing w:after="0" w:line="189" w:lineRule="exact"/>
              <w:rPr>
                <w:sz w:val="20"/>
                <w:szCs w:val="20"/>
                <w:color w:val="auto"/>
              </w:rPr>
            </w:pPr>
            <w:r>
              <w:rPr>
                <w:rFonts w:ascii="Times New Roman" w:cs="Times New Roman" w:eastAsia="Times New Roman" w:hAnsi="Times New Roman"/>
                <w:sz w:val="21"/>
                <w:szCs w:val="21"/>
                <w:color w:val="0000EE"/>
              </w:rPr>
              <w:t>FS Bancorp, Inc. Investor Materials</w:t>
            </w:r>
          </w:p>
        </w:tc>
      </w:tr>
      <w:tr>
        <w:trPr>
          <w:trHeight w:val="256"/>
        </w:trPr>
        <w:tc>
          <w:tcPr>
            <w:tcW w:w="3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auto"/>
              </w:rPr>
              <w:t>104</w:t>
            </w: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auto"/>
              </w:rPr>
              <w:t>Cover Page Interactive Data File</w:t>
            </w:r>
          </w:p>
        </w:tc>
        <w:tc>
          <w:tcPr>
            <w:tcW w:w="6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(embedded within the Inline XBRL document)</w:t>
            </w:r>
          </w:p>
        </w:tc>
      </w:tr>
    </w:tbl>
    <w:p>
      <w:pPr>
        <w:spacing w:after="0" w:line="257" w:lineRule="exact"/>
        <w:rPr>
          <w:sz w:val="20"/>
          <w:szCs w:val="20"/>
          <w:color w:val="auto"/>
        </w:rPr>
      </w:pPr>
    </w:p>
    <w:p>
      <w:pPr>
        <w:jc w:val="both"/>
        <w:ind w:left="460" w:hanging="452"/>
        <w:spacing w:after="0" w:line="225" w:lineRule="auto"/>
        <w:tabs>
          <w:tab w:leader="none" w:pos="4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furnished under Item 7.01 and Item 9.01 of this Current Report on Form 8-K, including the exhibit, shall not be deemed “filed” for purposes of Section 18 of the Securities Exchange Act of 1934, as amended, or otherwise subject to liabilities under that Section, nor shall it be deemed incorporated by reference in any registration statement or other filings of FS Bancorp, Inc. under the Securities Act of 1933, as amended, except as shall be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-743585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22"/>
          <w:szCs w:val="22"/>
          <w:color w:val="auto"/>
        </w:rPr>
        <w:t>Date: May 4, 2026</w:t>
      </w:r>
      <w:r>
        <w:rPr>
          <w:sz w:val="20"/>
          <w:szCs w:val="20"/>
          <w:color w:val="auto"/>
        </w:rPr>
        <w:tab/>
      </w:r>
      <w:r>
        <w:rPr>
          <w:rFonts w:ascii="Times New Roman" w:cs="Times New Roman" w:eastAsia="Times New Roman" w:hAnsi="Times New Roman"/>
          <w:sz w:val="21"/>
          <w:szCs w:val="21"/>
          <w:color w:val="auto"/>
        </w:rPr>
        <w:t>FS BANCORP, INC.</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/s/ Phil Whittington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10795</wp:posOffset>
            </wp:positionV>
            <wp:extent cx="35744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74415" cy="1714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Phil Whittington</w:t>
      </w:r>
    </w:p>
    <w:p>
      <w:pPr>
        <w:spacing w:after="0" w:line="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ind w:left="920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5220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22097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22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220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220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22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22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22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220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220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220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220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220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220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5220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522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522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5220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5220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5220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5220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5220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5220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5220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9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5220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9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5220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9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5220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5220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5220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5220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522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522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522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220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522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5031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50317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2026-05-04T08:58:45Z</dcterms:created>
  <dcterms:modified xsi:type="dcterms:W3CDTF">2026-05-04T08:58:45Z</dcterms:modified>
</cp:coreProperties>
</file>