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ind w:left="3300"/>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9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94"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May 21, 2026</w:t>
      </w:r>
    </w:p>
    <w:p>
      <w:pPr>
        <w:spacing w:after="0" w:line="19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FS BANCORP, INC.</w:t>
      </w: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59" w:lineRule="exact"/>
        <w:rPr>
          <w:sz w:val="24"/>
          <w:szCs w:val="24"/>
          <w:color w:val="auto"/>
        </w:rPr>
      </w:pPr>
    </w:p>
    <w:tbl>
      <w:tblPr>
        <w:tblLayout w:type="fixed"/>
        <w:tblInd w:w="740" w:type="dxa"/>
        <w:tblCellMar>
          <w:top w:w="0" w:type="dxa"/>
          <w:left w:w="0" w:type="dxa"/>
          <w:bottom w:w="0" w:type="dxa"/>
          <w:right w:w="0" w:type="dxa"/>
        </w:tblCellMar>
      </w:tblPr>
      <w:tr>
        <w:trPr>
          <w:trHeight w:val="253"/>
        </w:trPr>
        <w:tc>
          <w:tcPr>
            <w:tcW w:w="404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6"/>
              </w:rPr>
              <w:t>Washington</w:t>
            </w:r>
          </w:p>
        </w:tc>
        <w:tc>
          <w:tcPr>
            <w:tcW w:w="2300" w:type="dxa"/>
            <w:vAlign w:val="bottom"/>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8"/>
              </w:rPr>
              <w:t>001-35589</w:t>
            </w:r>
          </w:p>
        </w:tc>
        <w:tc>
          <w:tcPr>
            <w:tcW w:w="3080" w:type="dxa"/>
            <w:vAlign w:val="bottom"/>
          </w:tcPr>
          <w:p>
            <w:pPr>
              <w:jc w:val="center"/>
              <w:ind w:left="1372"/>
              <w:spacing w:after="0"/>
              <w:rPr>
                <w:sz w:val="20"/>
                <w:szCs w:val="20"/>
                <w:color w:val="auto"/>
              </w:rPr>
            </w:pPr>
            <w:r>
              <w:rPr>
                <w:rFonts w:ascii="Times New Roman" w:cs="Times New Roman" w:eastAsia="Times New Roman" w:hAnsi="Times New Roman"/>
                <w:sz w:val="22"/>
                <w:szCs w:val="22"/>
                <w:b w:val="1"/>
                <w:bCs w:val="1"/>
                <w:color w:val="auto"/>
                <w:w w:val="97"/>
              </w:rPr>
              <w:t>45-4585178</w:t>
            </w:r>
          </w:p>
        </w:tc>
        <w:tc>
          <w:tcPr>
            <w:tcW w:w="0" w:type="dxa"/>
            <w:vAlign w:val="bottom"/>
          </w:tcPr>
          <w:p>
            <w:pPr>
              <w:spacing w:after="0"/>
              <w:rPr>
                <w:sz w:val="1"/>
                <w:szCs w:val="1"/>
                <w:color w:val="auto"/>
              </w:rPr>
            </w:pPr>
          </w:p>
        </w:tc>
      </w:tr>
      <w:tr>
        <w:trPr>
          <w:trHeight w:val="229"/>
        </w:trPr>
        <w:tc>
          <w:tcPr>
            <w:tcW w:w="4040" w:type="dxa"/>
            <w:vAlign w:val="bottom"/>
          </w:tcPr>
          <w:p>
            <w:pPr>
              <w:jc w:val="center"/>
              <w:ind w:right="1652"/>
              <w:spacing w:after="0" w:line="229" w:lineRule="exact"/>
              <w:rPr>
                <w:sz w:val="20"/>
                <w:szCs w:val="20"/>
                <w:color w:val="auto"/>
              </w:rPr>
            </w:pPr>
            <w:r>
              <w:rPr>
                <w:rFonts w:ascii="Times New Roman" w:cs="Times New Roman" w:eastAsia="Times New Roman" w:hAnsi="Times New Roman"/>
                <w:sz w:val="22"/>
                <w:szCs w:val="22"/>
                <w:color w:val="auto"/>
                <w:w w:val="98"/>
              </w:rPr>
              <w:t>(State or other jurisdiction</w:t>
            </w:r>
          </w:p>
        </w:tc>
        <w:tc>
          <w:tcPr>
            <w:tcW w:w="2300" w:type="dxa"/>
            <w:vAlign w:val="bottom"/>
          </w:tcPr>
          <w:p>
            <w:pPr>
              <w:jc w:val="center"/>
              <w:ind w:right="512"/>
              <w:spacing w:after="0" w:line="229" w:lineRule="exact"/>
              <w:rPr>
                <w:sz w:val="20"/>
                <w:szCs w:val="20"/>
                <w:color w:val="auto"/>
              </w:rPr>
            </w:pPr>
            <w:r>
              <w:rPr>
                <w:rFonts w:ascii="Times New Roman" w:cs="Times New Roman" w:eastAsia="Times New Roman" w:hAnsi="Times New Roman"/>
                <w:sz w:val="22"/>
                <w:szCs w:val="22"/>
                <w:color w:val="auto"/>
                <w:w w:val="97"/>
              </w:rPr>
              <w:t>(Commission</w:t>
            </w:r>
          </w:p>
        </w:tc>
        <w:tc>
          <w:tcPr>
            <w:tcW w:w="3080" w:type="dxa"/>
            <w:vAlign w:val="bottom"/>
          </w:tcPr>
          <w:p>
            <w:pPr>
              <w:jc w:val="center"/>
              <w:ind w:left="1372"/>
              <w:spacing w:after="0" w:line="229" w:lineRule="exact"/>
              <w:rPr>
                <w:sz w:val="20"/>
                <w:szCs w:val="20"/>
                <w:color w:val="auto"/>
              </w:rPr>
            </w:pPr>
            <w:r>
              <w:rPr>
                <w:rFonts w:ascii="Times New Roman" w:cs="Times New Roman" w:eastAsia="Times New Roman" w:hAnsi="Times New Roman"/>
                <w:sz w:val="22"/>
                <w:szCs w:val="22"/>
                <w:color w:val="auto"/>
                <w:w w:val="98"/>
              </w:rPr>
              <w:t>(I.R.S. Employer</w:t>
            </w:r>
          </w:p>
        </w:tc>
        <w:tc>
          <w:tcPr>
            <w:tcW w:w="0" w:type="dxa"/>
            <w:vAlign w:val="bottom"/>
          </w:tcPr>
          <w:p>
            <w:pPr>
              <w:spacing w:after="0"/>
              <w:rPr>
                <w:sz w:val="1"/>
                <w:szCs w:val="1"/>
                <w:color w:val="auto"/>
              </w:rPr>
            </w:pPr>
          </w:p>
        </w:tc>
      </w:tr>
      <w:tr>
        <w:trPr>
          <w:trHeight w:val="282"/>
        </w:trPr>
        <w:tc>
          <w:tcPr>
            <w:tcW w:w="4040" w:type="dxa"/>
            <w:vAlign w:val="bottom"/>
          </w:tcPr>
          <w:p>
            <w:pPr>
              <w:jc w:val="center"/>
              <w:ind w:right="1652"/>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2300" w:type="dxa"/>
            <w:vAlign w:val="bottom"/>
          </w:tcPr>
          <w:p>
            <w:pPr>
              <w:jc w:val="center"/>
              <w:ind w:right="512"/>
              <w:spacing w:after="0"/>
              <w:rPr>
                <w:sz w:val="20"/>
                <w:szCs w:val="20"/>
                <w:color w:val="auto"/>
              </w:rPr>
            </w:pPr>
            <w:r>
              <w:rPr>
                <w:rFonts w:ascii="Times New Roman" w:cs="Times New Roman" w:eastAsia="Times New Roman" w:hAnsi="Times New Roman"/>
                <w:sz w:val="22"/>
                <w:szCs w:val="22"/>
                <w:color w:val="auto"/>
                <w:w w:val="97"/>
              </w:rPr>
              <w:t>File Number)</w:t>
            </w:r>
          </w:p>
        </w:tc>
        <w:tc>
          <w:tcPr>
            <w:tcW w:w="3080" w:type="dxa"/>
            <w:vAlign w:val="bottom"/>
          </w:tcPr>
          <w:p>
            <w:pPr>
              <w:jc w:val="center"/>
              <w:ind w:left="1372"/>
              <w:spacing w:after="0"/>
              <w:rPr>
                <w:sz w:val="20"/>
                <w:szCs w:val="20"/>
                <w:color w:val="auto"/>
              </w:rPr>
            </w:pPr>
            <w:r>
              <w:rPr>
                <w:rFonts w:ascii="Times New Roman" w:cs="Times New Roman" w:eastAsia="Times New Roman" w:hAnsi="Times New Roman"/>
                <w:sz w:val="22"/>
                <w:szCs w:val="22"/>
                <w:color w:val="auto"/>
                <w:w w:val="97"/>
              </w:rPr>
              <w:t>Identification No.)</w:t>
            </w:r>
          </w:p>
        </w:tc>
        <w:tc>
          <w:tcPr>
            <w:tcW w:w="0" w:type="dxa"/>
            <w:vAlign w:val="bottom"/>
          </w:tcPr>
          <w:p>
            <w:pPr>
              <w:spacing w:after="0"/>
              <w:rPr>
                <w:sz w:val="1"/>
                <w:szCs w:val="1"/>
                <w:color w:val="auto"/>
              </w:rPr>
            </w:pPr>
          </w:p>
        </w:tc>
      </w:tr>
      <w:tr>
        <w:trPr>
          <w:trHeight w:val="379"/>
        </w:trPr>
        <w:tc>
          <w:tcPr>
            <w:tcW w:w="40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6920 220th Street SW</w:t>
            </w:r>
          </w:p>
        </w:tc>
        <w:tc>
          <w:tcPr>
            <w:tcW w:w="2300" w:type="dxa"/>
            <w:vAlign w:val="bottom"/>
          </w:tcPr>
          <w:p>
            <w:pPr>
              <w:spacing w:after="0"/>
              <w:rPr>
                <w:sz w:val="24"/>
                <w:szCs w:val="24"/>
                <w:color w:val="auto"/>
              </w:rPr>
            </w:pPr>
          </w:p>
        </w:tc>
        <w:tc>
          <w:tcPr>
            <w:tcW w:w="3080" w:type="dxa"/>
            <w:vAlign w:val="bottom"/>
            <w:vMerge w:val="restart"/>
          </w:tcPr>
          <w:p>
            <w:pPr>
              <w:jc w:val="right"/>
              <w:ind w:right="1352"/>
              <w:spacing w:after="0"/>
              <w:rPr>
                <w:sz w:val="20"/>
                <w:szCs w:val="20"/>
                <w:color w:val="auto"/>
              </w:rPr>
            </w:pPr>
            <w:r>
              <w:rPr>
                <w:rFonts w:ascii="Times New Roman" w:cs="Times New Roman" w:eastAsia="Times New Roman" w:hAnsi="Times New Roman"/>
                <w:sz w:val="22"/>
                <w:szCs w:val="22"/>
                <w:b w:val="1"/>
                <w:bCs w:val="1"/>
                <w:color w:val="auto"/>
              </w:rPr>
              <w:t>98043</w:t>
            </w:r>
          </w:p>
        </w:tc>
        <w:tc>
          <w:tcPr>
            <w:tcW w:w="0" w:type="dxa"/>
            <w:vAlign w:val="bottom"/>
          </w:tcPr>
          <w:p>
            <w:pPr>
              <w:spacing w:after="0"/>
              <w:rPr>
                <w:sz w:val="1"/>
                <w:szCs w:val="1"/>
                <w:color w:val="auto"/>
              </w:rPr>
            </w:pPr>
          </w:p>
        </w:tc>
      </w:tr>
      <w:tr>
        <w:trPr>
          <w:trHeight w:val="229"/>
        </w:trPr>
        <w:tc>
          <w:tcPr>
            <w:tcW w:w="404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auto"/>
                <w:w w:val="96"/>
              </w:rPr>
              <w:t>Mountlake Terrace, Washington</w:t>
            </w:r>
          </w:p>
        </w:tc>
        <w:tc>
          <w:tcPr>
            <w:tcW w:w="2300" w:type="dxa"/>
            <w:vAlign w:val="bottom"/>
          </w:tcPr>
          <w:p>
            <w:pPr>
              <w:spacing w:after="0"/>
              <w:rPr>
                <w:sz w:val="19"/>
                <w:szCs w:val="19"/>
                <w:color w:val="auto"/>
              </w:rPr>
            </w:pP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0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2300" w:type="dxa"/>
            <w:vAlign w:val="bottom"/>
          </w:tcPr>
          <w:p>
            <w:pPr>
              <w:spacing w:after="0"/>
              <w:rPr>
                <w:sz w:val="24"/>
                <w:szCs w:val="24"/>
                <w:color w:val="auto"/>
              </w:rPr>
            </w:pPr>
          </w:p>
        </w:tc>
        <w:tc>
          <w:tcPr>
            <w:tcW w:w="3080" w:type="dxa"/>
            <w:vAlign w:val="bottom"/>
          </w:tcPr>
          <w:p>
            <w:pPr>
              <w:jc w:val="center"/>
              <w:ind w:right="272"/>
              <w:spacing w:after="0"/>
              <w:rPr>
                <w:sz w:val="20"/>
                <w:szCs w:val="20"/>
                <w:color w:val="auto"/>
              </w:rPr>
            </w:pPr>
            <w:r>
              <w:rPr>
                <w:rFonts w:ascii="Times New Roman" w:cs="Times New Roman" w:eastAsia="Times New Roman" w:hAnsi="Times New Roman"/>
                <w:sz w:val="22"/>
                <w:szCs w:val="22"/>
                <w:color w:val="auto"/>
                <w:w w:val="96"/>
              </w:rPr>
              <w:t>(Zip Code)</w:t>
            </w:r>
          </w:p>
        </w:tc>
        <w:tc>
          <w:tcPr>
            <w:tcW w:w="0" w:type="dxa"/>
            <w:vAlign w:val="bottom"/>
          </w:tcPr>
          <w:p>
            <w:pPr>
              <w:spacing w:after="0"/>
              <w:rPr>
                <w:sz w:val="1"/>
                <w:szCs w:val="1"/>
                <w:color w:val="auto"/>
              </w:rPr>
            </w:pPr>
          </w:p>
        </w:tc>
      </w:tr>
    </w:tbl>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(425) 771-5299</w:t>
      </w:r>
    </w:p>
    <w:p>
      <w:pPr>
        <w:spacing w:after="0" w:line="210" w:lineRule="exact"/>
        <w:rPr>
          <w:sz w:val="24"/>
          <w:szCs w:val="24"/>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19" w:lineRule="exact"/>
        <w:rPr>
          <w:rFonts w:ascii="MS PGothic" w:cs="MS PGothic" w:eastAsia="MS PGothic" w:hAnsi="MS PGothic"/>
          <w:sz w:val="22"/>
          <w:szCs w:val="22"/>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19" w:lineRule="exact"/>
        <w:rPr>
          <w:rFonts w:ascii="MS PGothic" w:cs="MS PGothic" w:eastAsia="MS PGothic" w:hAnsi="MS PGothic"/>
          <w:sz w:val="22"/>
          <w:szCs w:val="22"/>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19" w:lineRule="exact"/>
        <w:rPr>
          <w:rFonts w:ascii="MS PGothic" w:cs="MS PGothic" w:eastAsia="MS PGothic" w:hAnsi="MS PGothic"/>
          <w:sz w:val="22"/>
          <w:szCs w:val="22"/>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Name of each exchange on</w:t>
            </w:r>
          </w:p>
        </w:tc>
        <w:tc>
          <w:tcPr>
            <w:tcW w:w="0" w:type="dxa"/>
            <w:vAlign w:val="bottom"/>
          </w:tcPr>
          <w:p>
            <w:pPr>
              <w:spacing w:after="0"/>
              <w:rPr>
                <w:sz w:val="1"/>
                <w:szCs w:val="1"/>
                <w:color w:val="auto"/>
              </w:rPr>
            </w:pPr>
          </w:p>
        </w:tc>
      </w:tr>
      <w:tr>
        <w:trPr>
          <w:trHeight w:val="150"/>
        </w:trPr>
        <w:tc>
          <w:tcPr>
            <w:tcW w:w="514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0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w w:val="97"/>
              </w:rPr>
              <w:t>Trading Symbol(s)</w:t>
            </w:r>
          </w:p>
        </w:tc>
        <w:tc>
          <w:tcPr>
            <w:tcW w:w="36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2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which registered</w:t>
            </w:r>
          </w:p>
        </w:tc>
        <w:tc>
          <w:tcPr>
            <w:tcW w:w="0" w:type="dxa"/>
            <w:vAlign w:val="bottom"/>
          </w:tcPr>
          <w:p>
            <w:pPr>
              <w:spacing w:after="0"/>
              <w:rPr>
                <w:sz w:val="1"/>
                <w:szCs w:val="1"/>
                <w:color w:val="auto"/>
              </w:rPr>
            </w:pPr>
          </w:p>
        </w:tc>
      </w:tr>
      <w:tr>
        <w:trPr>
          <w:trHeight w:val="282"/>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par value $0.01 per share</w:t>
            </w:r>
          </w:p>
        </w:tc>
        <w:tc>
          <w:tcPr>
            <w:tcW w:w="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jc w:val="center"/>
              <w:ind w:right="252"/>
              <w:spacing w:after="0"/>
              <w:rPr>
                <w:sz w:val="20"/>
                <w:szCs w:val="20"/>
                <w:color w:val="auto"/>
              </w:rPr>
            </w:pPr>
            <w:r>
              <w:rPr>
                <w:rFonts w:ascii="Times New Roman" w:cs="Times New Roman" w:eastAsia="Times New Roman" w:hAnsi="Times New Roman"/>
                <w:sz w:val="22"/>
                <w:szCs w:val="22"/>
                <w:color w:val="auto"/>
                <w:w w:val="96"/>
              </w:rPr>
              <w:t>FSBW</w:t>
            </w:r>
          </w:p>
        </w:tc>
        <w:tc>
          <w:tcPr>
            <w:tcW w:w="360" w:type="dxa"/>
            <w:vAlign w:val="bottom"/>
          </w:tcPr>
          <w:p>
            <w:pPr>
              <w:spacing w:after="0"/>
              <w:rPr>
                <w:sz w:val="24"/>
                <w:szCs w:val="24"/>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The NASDAQ Stock Market LLC</w:t>
            </w:r>
          </w:p>
        </w:tc>
        <w:tc>
          <w:tcPr>
            <w:tcW w:w="0" w:type="dxa"/>
            <w:vAlign w:val="bottom"/>
          </w:tcPr>
          <w:p>
            <w:pPr>
              <w:spacing w:after="0"/>
              <w:rPr>
                <w:sz w:val="1"/>
                <w:szCs w:val="1"/>
                <w:color w:val="auto"/>
              </w:rPr>
            </w:pPr>
          </w:p>
        </w:tc>
      </w:tr>
    </w:tbl>
    <w:p>
      <w:pPr>
        <w:spacing w:after="0" w:line="203"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ind w:left="864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3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19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Meeting of FS Bancorp, Inc. (the “Company”) was held on May 21, 2026 (“Annual Meeting”).</w:t>
      </w:r>
    </w:p>
    <w:p>
      <w:pPr>
        <w:spacing w:after="0" w:line="206"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were a total of 7,501,542 shares of the Company’s common stock outstanding and entitled to vote at the Annual Meeting. At the Annual Meeting, 6,542,872 shares of common stock were represented in person or by proxy, therefore, a quorum was present. The following proposals were submitted by the Company’s Board of Directors to a vote of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Proposal 1</w:t>
      </w:r>
      <w:r>
        <w:rPr>
          <w:rFonts w:ascii="Times New Roman" w:cs="Times New Roman" w:eastAsia="Times New Roman" w:hAnsi="Times New Roman"/>
          <w:sz w:val="22"/>
          <w:szCs w:val="22"/>
          <w:b w:val="1"/>
          <w:bCs w:val="1"/>
          <w:color w:val="auto"/>
        </w:rPr>
        <w:t>. Election of Directors. The following two individuals were elected as directors for three-year terms: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6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FOR</w:t>
            </w:r>
          </w:p>
        </w:tc>
        <w:tc>
          <w:tcPr>
            <w:tcW w:w="300" w:type="dxa"/>
            <w:vAlign w:val="bottom"/>
          </w:tcPr>
          <w:p>
            <w:pPr>
              <w:spacing w:after="0"/>
              <w:rPr>
                <w:sz w:val="22"/>
                <w:szCs w:val="22"/>
                <w:color w:val="auto"/>
              </w:rPr>
            </w:pPr>
          </w:p>
        </w:tc>
        <w:tc>
          <w:tcPr>
            <w:tcW w:w="3260" w:type="dxa"/>
            <w:vAlign w:val="bottom"/>
            <w:gridSpan w:val="3"/>
            <w:vMerge w:val="restart"/>
          </w:tcPr>
          <w:p>
            <w:pPr>
              <w:ind w:left="1060"/>
              <w:spacing w:after="0"/>
              <w:rPr>
                <w:sz w:val="20"/>
                <w:szCs w:val="20"/>
                <w:color w:val="auto"/>
              </w:rPr>
            </w:pPr>
            <w:r>
              <w:rPr>
                <w:rFonts w:ascii="Times New Roman" w:cs="Times New Roman" w:eastAsia="Times New Roman" w:hAnsi="Times New Roman"/>
                <w:sz w:val="22"/>
                <w:szCs w:val="22"/>
                <w:color w:val="auto"/>
              </w:rPr>
              <w:t>WITHHELD</w:t>
            </w:r>
          </w:p>
        </w:tc>
        <w:tc>
          <w:tcPr>
            <w:tcW w:w="3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BROKER</w:t>
            </w: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tcBorders>
              <w:bottom w:val="single" w:sz="8" w:color="auto"/>
            </w:tcBorders>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NON-VOTES</w:t>
            </w: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130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5"/>
              </w:rPr>
              <w:t>No. of</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Percentage of</w:t>
            </w:r>
          </w:p>
        </w:tc>
        <w:tc>
          <w:tcPr>
            <w:tcW w:w="300" w:type="dxa"/>
            <w:vAlign w:val="bottom"/>
          </w:tcPr>
          <w:p>
            <w:pPr>
              <w:spacing w:after="0"/>
              <w:rPr>
                <w:sz w:val="15"/>
                <w:szCs w:val="15"/>
                <w:color w:val="auto"/>
              </w:rPr>
            </w:pPr>
          </w:p>
        </w:tc>
        <w:tc>
          <w:tcPr>
            <w:tcW w:w="15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No. of</w:t>
            </w:r>
          </w:p>
        </w:tc>
        <w:tc>
          <w:tcPr>
            <w:tcW w:w="320" w:type="dxa"/>
            <w:vAlign w:val="bottom"/>
          </w:tcPr>
          <w:p>
            <w:pPr>
              <w:spacing w:after="0"/>
              <w:rPr>
                <w:sz w:val="15"/>
                <w:szCs w:val="15"/>
                <w:color w:val="auto"/>
              </w:rPr>
            </w:pPr>
          </w:p>
        </w:tc>
        <w:tc>
          <w:tcPr>
            <w:tcW w:w="140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Percentage of</w:t>
            </w:r>
          </w:p>
        </w:tc>
        <w:tc>
          <w:tcPr>
            <w:tcW w:w="3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No.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shares</w:t>
            </w:r>
          </w:p>
        </w:tc>
        <w:tc>
          <w:tcPr>
            <w:tcW w:w="3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shares</w:t>
            </w:r>
          </w:p>
        </w:tc>
        <w:tc>
          <w:tcPr>
            <w:tcW w:w="3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300" w:type="dxa"/>
            <w:vAlign w:val="bottom"/>
            <w:tcBorders>
              <w:bottom w:val="single" w:sz="8" w:color="auto"/>
            </w:tcBorders>
          </w:tcPr>
          <w:p>
            <w:pPr>
              <w:jc w:val="center"/>
              <w:ind w:left="152"/>
              <w:spacing w:after="0" w:line="229" w:lineRule="exact"/>
              <w:rPr>
                <w:sz w:val="20"/>
                <w:szCs w:val="20"/>
                <w:color w:val="auto"/>
              </w:rPr>
            </w:pPr>
            <w:r>
              <w:rPr>
                <w:rFonts w:ascii="Times New Roman" w:cs="Times New Roman" w:eastAsia="Times New Roman" w:hAnsi="Times New Roman"/>
                <w:sz w:val="22"/>
                <w:szCs w:val="22"/>
                <w:color w:val="auto"/>
                <w:w w:val="93"/>
              </w:rPr>
              <w:t>Votes</w:t>
            </w:r>
          </w:p>
        </w:tc>
        <w:tc>
          <w:tcPr>
            <w:tcW w:w="2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present</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ind w:right="432"/>
              <w:spacing w:after="0" w:line="229" w:lineRule="exact"/>
              <w:rPr>
                <w:sz w:val="20"/>
                <w:szCs w:val="20"/>
                <w:color w:val="auto"/>
              </w:rPr>
            </w:pPr>
            <w:r>
              <w:rPr>
                <w:rFonts w:ascii="Times New Roman" w:cs="Times New Roman" w:eastAsia="Times New Roman" w:hAnsi="Times New Roman"/>
                <w:sz w:val="22"/>
                <w:szCs w:val="22"/>
                <w:color w:val="auto"/>
              </w:rPr>
              <w:t>Votes</w:t>
            </w:r>
          </w:p>
        </w:tc>
        <w:tc>
          <w:tcPr>
            <w:tcW w:w="320" w:type="dxa"/>
            <w:vAlign w:val="bottom"/>
          </w:tcPr>
          <w:p>
            <w:pPr>
              <w:spacing w:after="0"/>
              <w:rPr>
                <w:sz w:val="20"/>
                <w:szCs w:val="20"/>
                <w:color w:val="auto"/>
              </w:rPr>
            </w:pPr>
          </w:p>
        </w:tc>
        <w:tc>
          <w:tcPr>
            <w:tcW w:w="14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present</w:t>
            </w:r>
          </w:p>
        </w:tc>
        <w:tc>
          <w:tcPr>
            <w:tcW w:w="300" w:type="dxa"/>
            <w:vAlign w:val="bottom"/>
          </w:tcPr>
          <w:p>
            <w:pPr>
              <w:spacing w:after="0"/>
              <w:rPr>
                <w:sz w:val="20"/>
                <w:szCs w:val="20"/>
                <w:color w:val="auto"/>
              </w:rPr>
            </w:pPr>
          </w:p>
        </w:tc>
        <w:tc>
          <w:tcPr>
            <w:tcW w:w="14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votes</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60" w:type="dxa"/>
            <w:vAlign w:val="bottom"/>
            <w:gridSpan w:val="3"/>
          </w:tcPr>
          <w:p>
            <w:pPr>
              <w:spacing w:after="0"/>
              <w:rPr>
                <w:sz w:val="21"/>
                <w:szCs w:val="21"/>
                <w:color w:val="auto"/>
              </w:rPr>
            </w:pPr>
          </w:p>
        </w:tc>
        <w:tc>
          <w:tcPr>
            <w:tcW w:w="1840" w:type="dxa"/>
            <w:vAlign w:val="bottom"/>
            <w:gridSpan w:val="2"/>
          </w:tcPr>
          <w:p>
            <w:pPr>
              <w:spacing w:after="0"/>
              <w:rPr>
                <w:sz w:val="21"/>
                <w:szCs w:val="21"/>
                <w:color w:val="auto"/>
              </w:rPr>
            </w:pPr>
          </w:p>
        </w:tc>
        <w:tc>
          <w:tcPr>
            <w:tcW w:w="172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Terri L. Degner</w:t>
            </w:r>
          </w:p>
        </w:tc>
        <w:tc>
          <w:tcPr>
            <w:tcW w:w="1300" w:type="dxa"/>
            <w:vAlign w:val="bottom"/>
            <w:shd w:val="clear" w:color="auto" w:fill="CCEEFF"/>
          </w:tcPr>
          <w:p>
            <w:pPr>
              <w:jc w:val="center"/>
              <w:ind w:left="132"/>
              <w:spacing w:after="0" w:line="243" w:lineRule="exact"/>
              <w:rPr>
                <w:sz w:val="20"/>
                <w:szCs w:val="20"/>
                <w:color w:val="auto"/>
              </w:rPr>
            </w:pPr>
            <w:r>
              <w:rPr>
                <w:rFonts w:ascii="Times New Roman" w:cs="Times New Roman" w:eastAsia="Times New Roman" w:hAnsi="Times New Roman"/>
                <w:sz w:val="22"/>
                <w:szCs w:val="22"/>
                <w:color w:val="auto"/>
                <w:w w:val="97"/>
              </w:rPr>
              <w:t>4,744,149</w:t>
            </w:r>
          </w:p>
        </w:tc>
        <w:tc>
          <w:tcPr>
            <w:tcW w:w="1860" w:type="dxa"/>
            <w:vAlign w:val="bottom"/>
            <w:gridSpan w:val="3"/>
            <w:shd w:val="clear" w:color="auto" w:fill="CCEEFF"/>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w w:val="97"/>
              </w:rPr>
              <w:t>84.29%</w:t>
            </w:r>
          </w:p>
        </w:tc>
        <w:tc>
          <w:tcPr>
            <w:tcW w:w="1840" w:type="dxa"/>
            <w:vAlign w:val="bottom"/>
            <w:gridSpan w:val="2"/>
            <w:shd w:val="clear" w:color="auto" w:fill="CCEE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884,507</w:t>
            </w:r>
          </w:p>
        </w:tc>
        <w:tc>
          <w:tcPr>
            <w:tcW w:w="1720" w:type="dxa"/>
            <w:vAlign w:val="bottom"/>
            <w:gridSpan w:val="2"/>
            <w:shd w:val="clear" w:color="auto" w:fill="CCEEFF"/>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7"/>
              </w:rPr>
              <w:t>15.71%</w:t>
            </w:r>
          </w:p>
        </w:tc>
        <w:tc>
          <w:tcPr>
            <w:tcW w:w="1700" w:type="dxa"/>
            <w:vAlign w:val="bottom"/>
            <w:gridSpan w:val="2"/>
            <w:shd w:val="clear" w:color="auto" w:fill="CCEEFF"/>
          </w:tcPr>
          <w:p>
            <w:pPr>
              <w:jc w:val="center"/>
              <w:ind w:left="212"/>
              <w:spacing w:after="0" w:line="243" w:lineRule="exact"/>
              <w:rPr>
                <w:sz w:val="20"/>
                <w:szCs w:val="20"/>
                <w:color w:val="auto"/>
              </w:rPr>
            </w:pPr>
            <w:r>
              <w:rPr>
                <w:rFonts w:ascii="Times New Roman" w:cs="Times New Roman" w:eastAsia="Times New Roman" w:hAnsi="Times New Roman"/>
                <w:sz w:val="22"/>
                <w:szCs w:val="22"/>
                <w:color w:val="auto"/>
                <w:w w:val="97"/>
              </w:rPr>
              <w:t>914,216</w:t>
            </w:r>
          </w:p>
        </w:tc>
        <w:tc>
          <w:tcPr>
            <w:tcW w:w="0" w:type="dxa"/>
            <w:vAlign w:val="bottom"/>
          </w:tcPr>
          <w:p>
            <w:pPr>
              <w:spacing w:after="0"/>
              <w:rPr>
                <w:sz w:val="1"/>
                <w:szCs w:val="1"/>
                <w:color w:val="auto"/>
              </w:rPr>
            </w:pPr>
          </w:p>
        </w:tc>
      </w:t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Michael J. Mansfield</w:t>
            </w:r>
          </w:p>
        </w:tc>
        <w:tc>
          <w:tcPr>
            <w:tcW w:w="13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7"/>
              </w:rPr>
              <w:t>4,403,524</w:t>
            </w:r>
          </w:p>
        </w:tc>
        <w:tc>
          <w:tcPr>
            <w:tcW w:w="1860" w:type="dxa"/>
            <w:vAlign w:val="bottom"/>
            <w:gridSpan w:val="3"/>
          </w:tcPr>
          <w:p>
            <w:pPr>
              <w:jc w:val="center"/>
              <w:ind w:left="452"/>
              <w:spacing w:after="0"/>
              <w:rPr>
                <w:sz w:val="20"/>
                <w:szCs w:val="20"/>
                <w:color w:val="auto"/>
              </w:rPr>
            </w:pPr>
            <w:r>
              <w:rPr>
                <w:rFonts w:ascii="Times New Roman" w:cs="Times New Roman" w:eastAsia="Times New Roman" w:hAnsi="Times New Roman"/>
                <w:sz w:val="22"/>
                <w:szCs w:val="22"/>
                <w:color w:val="auto"/>
                <w:w w:val="97"/>
              </w:rPr>
              <w:t>78.23%</w:t>
            </w:r>
          </w:p>
        </w:tc>
        <w:tc>
          <w:tcPr>
            <w:tcW w:w="184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1,225,132</w:t>
            </w:r>
          </w:p>
        </w:tc>
        <w:tc>
          <w:tcPr>
            <w:tcW w:w="172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color w:val="auto"/>
                <w:w w:val="97"/>
              </w:rPr>
              <w:t>21.77%</w:t>
            </w:r>
          </w:p>
        </w:tc>
        <w:tc>
          <w:tcPr>
            <w:tcW w:w="170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color w:val="auto"/>
                <w:w w:val="97"/>
              </w:rPr>
              <w:t>914,216</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Based on the votes set forth above, Terri L. Degner and Michael J. Mansfield were duly elected to each serve as directors of the Company for a three-year term expiring at the annual meeting of shareholders in 2029.</w:t>
      </w:r>
    </w:p>
    <w:p>
      <w:pPr>
        <w:spacing w:after="0" w:line="1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terms of Directors Joseph C. Adams, Pamela M. Andrews and Joseph P. Zavaglia Ted A. Leech and Marina Cofer-Wildsmith continued.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Proposal 2</w:t>
      </w:r>
      <w:r>
        <w:rPr>
          <w:rFonts w:ascii="Times New Roman" w:cs="Times New Roman" w:eastAsia="Times New Roman" w:hAnsi="Times New Roman"/>
          <w:sz w:val="22"/>
          <w:szCs w:val="22"/>
          <w:b w:val="1"/>
          <w:bCs w:val="1"/>
          <w:color w:val="auto"/>
        </w:rPr>
        <w:t>.  An advisory (non-binding) vote to approve the compensation of the Company’s named executive officers.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proposal received the following votes: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For</w:t>
            </w:r>
          </w:p>
        </w:tc>
        <w:tc>
          <w:tcPr>
            <w:tcW w:w="300" w:type="dxa"/>
            <w:vAlign w:val="bottom"/>
          </w:tcPr>
          <w:p>
            <w:pPr>
              <w:spacing w:after="0"/>
              <w:rPr>
                <w:sz w:val="24"/>
                <w:szCs w:val="24"/>
                <w:color w:val="auto"/>
              </w:rPr>
            </w:pPr>
          </w:p>
        </w:tc>
        <w:tc>
          <w:tcPr>
            <w:tcW w:w="21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2"/>
                <w:szCs w:val="22"/>
                <w:color w:val="auto"/>
              </w:rPr>
              <w:t>Against</w:t>
            </w:r>
          </w:p>
        </w:tc>
        <w:tc>
          <w:tcPr>
            <w:tcW w:w="320" w:type="dxa"/>
            <w:vAlign w:val="bottom"/>
          </w:tcPr>
          <w:p>
            <w:pPr>
              <w:spacing w:after="0"/>
              <w:rPr>
                <w:sz w:val="24"/>
                <w:szCs w:val="24"/>
                <w:color w:val="auto"/>
              </w:rPr>
            </w:pPr>
          </w:p>
        </w:tc>
        <w:tc>
          <w:tcPr>
            <w:tcW w:w="28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2"/>
                <w:szCs w:val="22"/>
                <w:color w:val="auto"/>
              </w:rPr>
              <w:t>Abstain</w:t>
            </w:r>
          </w:p>
        </w:tc>
        <w:tc>
          <w:tcPr>
            <w:tcW w:w="3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Broker Non-Vote</w:t>
            </w:r>
          </w:p>
        </w:tc>
      </w:tr>
      <w:tr>
        <w:trPr>
          <w:trHeight w:val="243"/>
        </w:trPr>
        <w:tc>
          <w:tcPr>
            <w:tcW w:w="2500" w:type="dxa"/>
            <w:vAlign w:val="bottom"/>
            <w:shd w:val="clear" w:color="auto" w:fill="CCEEFF"/>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5,144,997</w:t>
            </w:r>
          </w:p>
        </w:tc>
        <w:tc>
          <w:tcPr>
            <w:tcW w:w="300" w:type="dxa"/>
            <w:vAlign w:val="bottom"/>
            <w:shd w:val="clear" w:color="auto" w:fill="CCEEFF"/>
          </w:tcPr>
          <w:p>
            <w:pPr>
              <w:spacing w:after="0"/>
              <w:rPr>
                <w:sz w:val="21"/>
                <w:szCs w:val="21"/>
                <w:color w:val="auto"/>
              </w:rPr>
            </w:pPr>
          </w:p>
        </w:tc>
        <w:tc>
          <w:tcPr>
            <w:tcW w:w="2160" w:type="dxa"/>
            <w:vAlign w:val="bottom"/>
            <w:shd w:val="clear" w:color="auto" w:fill="CCEEFF"/>
          </w:tcPr>
          <w:p>
            <w:pPr>
              <w:ind w:left="740"/>
              <w:spacing w:after="0" w:line="243" w:lineRule="exact"/>
              <w:rPr>
                <w:sz w:val="20"/>
                <w:szCs w:val="20"/>
                <w:color w:val="auto"/>
              </w:rPr>
            </w:pPr>
            <w:r>
              <w:rPr>
                <w:rFonts w:ascii="Times New Roman" w:cs="Times New Roman" w:eastAsia="Times New Roman" w:hAnsi="Times New Roman"/>
                <w:sz w:val="22"/>
                <w:szCs w:val="22"/>
                <w:color w:val="auto"/>
              </w:rPr>
              <w:t>304,385</w:t>
            </w:r>
          </w:p>
        </w:tc>
        <w:tc>
          <w:tcPr>
            <w:tcW w:w="320" w:type="dxa"/>
            <w:vAlign w:val="bottom"/>
            <w:shd w:val="clear" w:color="auto" w:fill="CCEEFF"/>
          </w:tcPr>
          <w:p>
            <w:pPr>
              <w:spacing w:after="0"/>
              <w:rPr>
                <w:sz w:val="21"/>
                <w:szCs w:val="21"/>
                <w:color w:val="auto"/>
              </w:rPr>
            </w:pPr>
          </w:p>
        </w:tc>
        <w:tc>
          <w:tcPr>
            <w:tcW w:w="2820" w:type="dxa"/>
            <w:vAlign w:val="bottom"/>
            <w:shd w:val="clear" w:color="auto" w:fill="CCEEFF"/>
          </w:tcPr>
          <w:p>
            <w:pPr>
              <w:ind w:left="1060"/>
              <w:spacing w:after="0" w:line="243" w:lineRule="exact"/>
              <w:rPr>
                <w:sz w:val="20"/>
                <w:szCs w:val="20"/>
                <w:color w:val="auto"/>
              </w:rPr>
            </w:pPr>
            <w:r>
              <w:rPr>
                <w:rFonts w:ascii="Times New Roman" w:cs="Times New Roman" w:eastAsia="Times New Roman" w:hAnsi="Times New Roman"/>
                <w:sz w:val="22"/>
                <w:szCs w:val="22"/>
                <w:color w:val="auto"/>
              </w:rPr>
              <w:t>179,274</w:t>
            </w:r>
          </w:p>
        </w:tc>
        <w:tc>
          <w:tcPr>
            <w:tcW w:w="300" w:type="dxa"/>
            <w:vAlign w:val="bottom"/>
            <w:shd w:val="clear" w:color="auto" w:fill="CCEEFF"/>
          </w:tcPr>
          <w:p>
            <w:pPr>
              <w:spacing w:after="0"/>
              <w:rPr>
                <w:sz w:val="21"/>
                <w:szCs w:val="21"/>
                <w:color w:val="auto"/>
              </w:rPr>
            </w:pPr>
          </w:p>
        </w:tc>
        <w:tc>
          <w:tcPr>
            <w:tcW w:w="2840" w:type="dxa"/>
            <w:vAlign w:val="bottom"/>
            <w:shd w:val="clear" w:color="auto" w:fill="CCEEFF"/>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rPr>
              <w:t>914,216</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Based on the votes set forth above, the compensation of the Company’s named executive officers was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u w:val="single" w:color="auto"/>
          <w:color w:val="auto"/>
        </w:rPr>
        <w:t>Proposal 3.</w:t>
      </w:r>
      <w:r>
        <w:rPr>
          <w:rFonts w:ascii="Times New Roman" w:cs="Times New Roman" w:eastAsia="Times New Roman" w:hAnsi="Times New Roman"/>
          <w:sz w:val="21"/>
          <w:szCs w:val="21"/>
          <w:b w:val="1"/>
          <w:bCs w:val="1"/>
          <w:color w:val="auto"/>
        </w:rPr>
        <w:t xml:space="preserve"> The adoption of the FS Bancorp, Inc. 2026 Equity Incentive Plan. This proposal received the following votes: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For</w:t>
            </w:r>
          </w:p>
        </w:tc>
        <w:tc>
          <w:tcPr>
            <w:tcW w:w="300" w:type="dxa"/>
            <w:vAlign w:val="bottom"/>
          </w:tcPr>
          <w:p>
            <w:pPr>
              <w:spacing w:after="0"/>
              <w:rPr>
                <w:sz w:val="24"/>
                <w:szCs w:val="24"/>
                <w:color w:val="auto"/>
              </w:rPr>
            </w:pPr>
          </w:p>
        </w:tc>
        <w:tc>
          <w:tcPr>
            <w:tcW w:w="21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2"/>
                <w:szCs w:val="22"/>
                <w:color w:val="auto"/>
              </w:rPr>
              <w:t>Against</w:t>
            </w:r>
          </w:p>
        </w:tc>
        <w:tc>
          <w:tcPr>
            <w:tcW w:w="3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Abstain</w:t>
            </w:r>
          </w:p>
        </w:tc>
        <w:tc>
          <w:tcPr>
            <w:tcW w:w="3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Broker Non-Vote</w:t>
            </w:r>
          </w:p>
        </w:tc>
      </w:tr>
      <w:tr>
        <w:trPr>
          <w:trHeight w:val="243"/>
        </w:trPr>
        <w:tc>
          <w:tcPr>
            <w:tcW w:w="2500" w:type="dxa"/>
            <w:vAlign w:val="bottom"/>
            <w:shd w:val="clear" w:color="auto" w:fill="CCEEFF"/>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5,461,736</w:t>
            </w:r>
          </w:p>
        </w:tc>
        <w:tc>
          <w:tcPr>
            <w:tcW w:w="300" w:type="dxa"/>
            <w:vAlign w:val="bottom"/>
            <w:shd w:val="clear" w:color="auto" w:fill="CCEEFF"/>
          </w:tcPr>
          <w:p>
            <w:pPr>
              <w:spacing w:after="0"/>
              <w:rPr>
                <w:sz w:val="21"/>
                <w:szCs w:val="21"/>
                <w:color w:val="auto"/>
              </w:rPr>
            </w:pPr>
          </w:p>
        </w:tc>
        <w:tc>
          <w:tcPr>
            <w:tcW w:w="2160" w:type="dxa"/>
            <w:vAlign w:val="bottom"/>
            <w:shd w:val="clear" w:color="auto" w:fill="CCEEFF"/>
          </w:tcPr>
          <w:p>
            <w:pPr>
              <w:ind w:left="740"/>
              <w:spacing w:after="0" w:line="243" w:lineRule="exact"/>
              <w:rPr>
                <w:sz w:val="20"/>
                <w:szCs w:val="20"/>
                <w:color w:val="auto"/>
              </w:rPr>
            </w:pPr>
            <w:r>
              <w:rPr>
                <w:rFonts w:ascii="Times New Roman" w:cs="Times New Roman" w:eastAsia="Times New Roman" w:hAnsi="Times New Roman"/>
                <w:sz w:val="22"/>
                <w:szCs w:val="22"/>
                <w:color w:val="auto"/>
              </w:rPr>
              <w:t>103,062</w:t>
            </w:r>
          </w:p>
        </w:tc>
        <w:tc>
          <w:tcPr>
            <w:tcW w:w="320" w:type="dxa"/>
            <w:vAlign w:val="bottom"/>
            <w:shd w:val="clear" w:color="auto" w:fill="CCEEFF"/>
          </w:tcPr>
          <w:p>
            <w:pPr>
              <w:spacing w:after="0"/>
              <w:rPr>
                <w:sz w:val="21"/>
                <w:szCs w:val="21"/>
                <w:color w:val="auto"/>
              </w:rPr>
            </w:pPr>
          </w:p>
        </w:tc>
        <w:tc>
          <w:tcPr>
            <w:tcW w:w="2820" w:type="dxa"/>
            <w:vAlign w:val="bottom"/>
            <w:shd w:val="clear" w:color="auto" w:fill="CCEEFF"/>
          </w:tcPr>
          <w:p>
            <w:pPr>
              <w:jc w:val="right"/>
              <w:ind w:right="1012"/>
              <w:spacing w:after="0" w:line="243" w:lineRule="exact"/>
              <w:rPr>
                <w:sz w:val="20"/>
                <w:szCs w:val="20"/>
                <w:color w:val="auto"/>
              </w:rPr>
            </w:pPr>
            <w:r>
              <w:rPr>
                <w:rFonts w:ascii="Times New Roman" w:cs="Times New Roman" w:eastAsia="Times New Roman" w:hAnsi="Times New Roman"/>
                <w:sz w:val="22"/>
                <w:szCs w:val="22"/>
                <w:color w:val="auto"/>
              </w:rPr>
              <w:t>63,858</w:t>
            </w:r>
          </w:p>
        </w:tc>
        <w:tc>
          <w:tcPr>
            <w:tcW w:w="300" w:type="dxa"/>
            <w:vAlign w:val="bottom"/>
            <w:shd w:val="clear" w:color="auto" w:fill="CCEEFF"/>
          </w:tcPr>
          <w:p>
            <w:pPr>
              <w:spacing w:after="0"/>
              <w:rPr>
                <w:sz w:val="21"/>
                <w:szCs w:val="21"/>
                <w:color w:val="auto"/>
              </w:rPr>
            </w:pPr>
          </w:p>
        </w:tc>
        <w:tc>
          <w:tcPr>
            <w:tcW w:w="2840" w:type="dxa"/>
            <w:vAlign w:val="bottom"/>
            <w:shd w:val="clear" w:color="auto" w:fill="CCEEFF"/>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rPr>
              <w:t>914,216</w:t>
            </w:r>
          </w:p>
        </w:tc>
      </w:tr>
    </w:tbl>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Based on the votes set forth above, the adoption of the FS Bancorp, Inc. 2026 Equity Incentive Plan was approved by shareholders.</w:t>
      </w:r>
    </w:p>
    <w:p>
      <w:pPr>
        <w:spacing w:after="0" w:line="3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Proposal 4</w:t>
      </w:r>
      <w:r>
        <w:rPr>
          <w:rFonts w:ascii="Times New Roman" w:cs="Times New Roman" w:eastAsia="Times New Roman" w:hAnsi="Times New Roman"/>
          <w:sz w:val="22"/>
          <w:szCs w:val="22"/>
          <w:b w:val="1"/>
          <w:bCs w:val="1"/>
          <w:color w:val="auto"/>
        </w:rPr>
        <w:t>. Ratification of the appointment of Baker Tilly US, LLP as the Company’s independent registered public accounting firm for the year ending December 31, 2026. This proposal received the following votes: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For</w:t>
            </w:r>
          </w:p>
        </w:tc>
        <w:tc>
          <w:tcPr>
            <w:tcW w:w="3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Against</w:t>
            </w:r>
          </w:p>
        </w:tc>
        <w:tc>
          <w:tcPr>
            <w:tcW w:w="32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Abstain</w:t>
            </w:r>
          </w:p>
        </w:tc>
        <w:tc>
          <w:tcPr>
            <w:tcW w:w="3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Broker Non-Vote</w:t>
            </w:r>
          </w:p>
        </w:tc>
      </w:tr>
      <w:tr>
        <w:trPr>
          <w:trHeight w:val="243"/>
        </w:trPr>
        <w:tc>
          <w:tcPr>
            <w:tcW w:w="2500" w:type="dxa"/>
            <w:vAlign w:val="bottom"/>
            <w:shd w:val="clear" w:color="auto" w:fill="CCEEFF"/>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6,459,742</w:t>
            </w:r>
          </w:p>
        </w:tc>
        <w:tc>
          <w:tcPr>
            <w:tcW w:w="3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60,717</w:t>
            </w:r>
          </w:p>
        </w:tc>
        <w:tc>
          <w:tcPr>
            <w:tcW w:w="320" w:type="dxa"/>
            <w:vAlign w:val="bottom"/>
            <w:shd w:val="clear" w:color="auto" w:fill="CCEEFF"/>
          </w:tcPr>
          <w:p>
            <w:pPr>
              <w:spacing w:after="0"/>
              <w:rPr>
                <w:sz w:val="21"/>
                <w:szCs w:val="21"/>
                <w:color w:val="auto"/>
              </w:rPr>
            </w:pPr>
          </w:p>
        </w:tc>
        <w:tc>
          <w:tcPr>
            <w:tcW w:w="2820" w:type="dxa"/>
            <w:vAlign w:val="bottom"/>
            <w:shd w:val="clear" w:color="auto" w:fill="CCEEFF"/>
          </w:tcPr>
          <w:p>
            <w:pPr>
              <w:jc w:val="right"/>
              <w:ind w:right="1012"/>
              <w:spacing w:after="0" w:line="243" w:lineRule="exact"/>
              <w:rPr>
                <w:sz w:val="20"/>
                <w:szCs w:val="20"/>
                <w:color w:val="auto"/>
              </w:rPr>
            </w:pPr>
            <w:r>
              <w:rPr>
                <w:rFonts w:ascii="Times New Roman" w:cs="Times New Roman" w:eastAsia="Times New Roman" w:hAnsi="Times New Roman"/>
                <w:sz w:val="22"/>
                <w:szCs w:val="22"/>
                <w:color w:val="auto"/>
              </w:rPr>
              <w:t>22,413</w:t>
            </w:r>
          </w:p>
        </w:tc>
        <w:tc>
          <w:tcPr>
            <w:tcW w:w="300" w:type="dxa"/>
            <w:vAlign w:val="bottom"/>
            <w:shd w:val="clear" w:color="auto" w:fill="CCEEFF"/>
          </w:tcPr>
          <w:p>
            <w:pPr>
              <w:spacing w:after="0"/>
              <w:rPr>
                <w:sz w:val="21"/>
                <w:szCs w:val="21"/>
                <w:color w:val="auto"/>
              </w:rPr>
            </w:pPr>
          </w:p>
        </w:tc>
        <w:tc>
          <w:tcPr>
            <w:tcW w:w="2840" w:type="dxa"/>
            <w:vAlign w:val="bottom"/>
            <w:shd w:val="clear" w:color="auto" w:fill="CCEEFF"/>
          </w:tcPr>
          <w:p>
            <w:pPr>
              <w:jc w:val="right"/>
              <w:ind w:right="1232"/>
              <w:spacing w:after="0" w:line="243" w:lineRule="exact"/>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2"/>
          <w:szCs w:val="22"/>
          <w:color w:val="auto"/>
        </w:rPr>
        <w:t>Based on the votes set forth above, the appointment of Baker Tilly US, LLP as the Company’s independent registered public accounting firm to serve for the year ending December 31, 2026 was duly ratified by the shareholders</w:t>
      </w:r>
    </w:p>
    <w:p>
      <w:pPr>
        <w:spacing w:after="0" w:line="51" w:lineRule="exact"/>
        <w:rPr>
          <w:sz w:val="20"/>
          <w:szCs w:val="20"/>
          <w:color w:val="auto"/>
        </w:rPr>
      </w:pPr>
    </w:p>
    <w:p>
      <w:pPr>
        <w:ind w:left="900" w:hanging="892"/>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1176655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9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FS BANCORP, INC.</w:t>
      </w:r>
    </w:p>
    <w:p>
      <w:pPr>
        <w:spacing w:after="0" w:line="200" w:lineRule="exact"/>
        <w:rPr>
          <w:sz w:val="20"/>
          <w:szCs w:val="20"/>
          <w:color w:val="auto"/>
        </w:rPr>
      </w:pPr>
    </w:p>
    <w:p>
      <w:pPr>
        <w:spacing w:after="0" w:line="27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color w:val="auto"/>
        </w:rPr>
        <w:t>Date: May 26, 2026</w:t>
      </w:r>
      <w:r>
        <w:rPr>
          <w:sz w:val="20"/>
          <w:szCs w:val="20"/>
          <w:color w:val="auto"/>
        </w:rPr>
        <w:tab/>
      </w:r>
      <w:r>
        <w:rPr>
          <w:rFonts w:ascii="Times New Roman" w:cs="Times New Roman" w:eastAsia="Times New Roman" w:hAnsi="Times New Roman"/>
          <w:sz w:val="21"/>
          <w:szCs w:val="21"/>
          <w:color w:val="auto"/>
        </w:rPr>
        <w:t>/s/ Erin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2400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Erin Burr</w:t>
      </w:r>
    </w:p>
    <w:p>
      <w:pPr>
        <w:ind w:left="5620"/>
        <w:spacing w:after="0"/>
        <w:rPr>
          <w:sz w:val="20"/>
          <w:szCs w:val="20"/>
          <w:color w:val="auto"/>
        </w:rPr>
      </w:pPr>
      <w:r>
        <w:rPr>
          <w:rFonts w:ascii="Times New Roman" w:cs="Times New Roman" w:eastAsia="Times New Roman" w:hAnsi="Times New Roman"/>
          <w:sz w:val="22"/>
          <w:szCs w:val="22"/>
          <w:color w:val="auto"/>
        </w:rPr>
        <w:t>Chief Risk Officer and CRA Officer, EVP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1787525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2026-05-27T13:09:00Z</dcterms:created>
  <dcterms:modified xsi:type="dcterms:W3CDTF">2026-05-27T13:09:00Z</dcterms:modified>
</cp:coreProperties>
</file>