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UNITED STATES</w:t>
      </w:r>
    </w:p>
    <w:p>
      <w:pPr>
        <w:pStyle w:val="TextBody"/>
        <w:bidi w:val="0"/>
        <w:spacing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SECURITIES AND EXCHANGE COMMISSION</w:t>
      </w:r>
    </w:p>
    <w:p>
      <w:pPr>
        <w:pStyle w:val="TextBody"/>
        <w:bidi w:val="0"/>
        <w:spacing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36"/>
          <w:shd w:fill="FFFFFF" w:val="clear"/>
        </w:rPr>
      </w:pPr>
      <w:r>
        <w:rPr>
          <w:rFonts w:ascii="Times New Roman;Times;serif" w:hAnsi="Times New Roman;Times;serif"/>
          <w:b/>
          <w:color w:val="000000"/>
          <w:sz w:val="36"/>
          <w:shd w:fill="FFFFFF" w:val="clear"/>
        </w:rPr>
        <w:t>FORM 8-K</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CURRENT REPORT</w:t>
      </w:r>
    </w:p>
    <w:p>
      <w:pPr>
        <w:pStyle w:val="TextBody"/>
        <w:bidi w:val="0"/>
        <w:spacing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Pursuant to Section 13 or 15(d) of the Securities Exchange Act of 1934</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Date of Report (Date of earliest event reported): </w:t>
      </w:r>
      <w:r>
        <w:rPr>
          <w:rFonts w:ascii="Times New Roman;Times;serif" w:hAnsi="Times New Roman;Times;serif"/>
          <w:b/>
          <w:color w:val="000000"/>
          <w:sz w:val="24"/>
          <w:shd w:fill="FFFFFF" w:val="clear"/>
        </w:rPr>
        <w:t>August 19, 2026</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36"/>
          <w:shd w:fill="FFFFFF" w:val="clear"/>
        </w:rPr>
      </w:pPr>
      <w:r>
        <w:rPr>
          <w:rFonts w:ascii="Times New Roman;Times;serif" w:hAnsi="Times New Roman;Times;serif"/>
          <w:b/>
          <w:color w:val="000000"/>
          <w:sz w:val="36"/>
          <w:shd w:fill="FFFFFF" w:val="clear"/>
        </w:rPr>
        <w:t>FS BANCORP, INC.</w:t>
      </w:r>
    </w:p>
    <w:p>
      <w:pPr>
        <w:pStyle w:val="TextBody"/>
        <w:bidi w:val="0"/>
        <w:spacing w:before="0" w:after="0"/>
        <w:jc w:val="center"/>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(Exact name of registrant as specified in its charter)</w:t>
      </w:r>
    </w:p>
    <w:p>
      <w:pPr>
        <w:pStyle w:val="TextBody"/>
        <w:bidi w:val="0"/>
        <w:spacing w:before="0" w:after="0"/>
        <w:jc w:val="left"/>
        <w:rPr/>
      </w:pPr>
      <w:r>
        <w:rPr/>
      </w:r>
    </w:p>
    <w:tbl>
      <w:tblPr>
        <w:tblW w:w="5550" w:type="dxa"/>
        <w:jc w:val="left"/>
        <w:tblInd w:w="0" w:type="dxa"/>
        <w:tblLayout w:type="fixed"/>
        <w:tblCellMar>
          <w:top w:w="0" w:type="dxa"/>
          <w:left w:w="0" w:type="dxa"/>
          <w:bottom w:w="0" w:type="dxa"/>
          <w:right w:w="0" w:type="dxa"/>
        </w:tblCellMar>
      </w:tblPr>
      <w:tblGrid>
        <w:gridCol w:w="2480"/>
        <w:gridCol w:w="1295"/>
        <w:gridCol w:w="1775"/>
      </w:tblGrid>
      <w:tr>
        <w:trPr/>
        <w:tc>
          <w:tcPr>
            <w:tcW w:w="2480" w:type="dxa"/>
            <w:tcBorders/>
            <w:vAlign w:val="center"/>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Washington</w:t>
            </w:r>
          </w:p>
        </w:tc>
        <w:tc>
          <w:tcPr>
            <w:tcW w:w="1295" w:type="dxa"/>
            <w:tcBorders/>
            <w:vAlign w:val="center"/>
          </w:tcPr>
          <w:p>
            <w:pPr>
              <w:pStyle w:val="TableContents"/>
              <w:bidi w:val="0"/>
              <w:spacing w:before="0" w:after="283"/>
              <w:jc w:val="center"/>
              <w:rPr>
                <w:b/>
                <w:sz w:val="24"/>
              </w:rPr>
            </w:pPr>
            <w:r>
              <w:rPr>
                <w:b/>
                <w:sz w:val="24"/>
              </w:rPr>
              <w:t>001-35589</w:t>
            </w:r>
          </w:p>
        </w:tc>
        <w:tc>
          <w:tcPr>
            <w:tcW w:w="1775" w:type="dxa"/>
            <w:tcBorders/>
            <w:vAlign w:val="center"/>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45-4585178</w:t>
            </w:r>
          </w:p>
        </w:tc>
      </w:tr>
      <w:tr>
        <w:trPr/>
        <w:tc>
          <w:tcPr>
            <w:tcW w:w="2480" w:type="dxa"/>
            <w:tcBorders/>
            <w:vAlign w:val="center"/>
          </w:tcPr>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(State or other jurisdiction</w:t>
            </w:r>
          </w:p>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of incorporation)</w:t>
            </w:r>
          </w:p>
        </w:tc>
        <w:tc>
          <w:tcPr>
            <w:tcW w:w="1295" w:type="dxa"/>
            <w:tcBorders/>
            <w:vAlign w:val="center"/>
          </w:tcPr>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(Commission</w:t>
            </w:r>
          </w:p>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File Number)</w:t>
            </w:r>
          </w:p>
        </w:tc>
        <w:tc>
          <w:tcPr>
            <w:tcW w:w="1775" w:type="dxa"/>
            <w:tcBorders/>
            <w:vAlign w:val="center"/>
          </w:tcPr>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(I.R.S. Employer</w:t>
            </w:r>
          </w:p>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Identification No.)</w:t>
            </w:r>
          </w:p>
        </w:tc>
      </w:tr>
    </w:tbl>
    <w:p>
      <w:pPr>
        <w:pStyle w:val="TextBody"/>
        <w:bidi w:val="0"/>
        <w:spacing w:before="0" w:after="0"/>
        <w:jc w:val="left"/>
        <w:rPr/>
      </w:pPr>
      <w:r>
        <w:rPr/>
      </w:r>
    </w:p>
    <w:tbl>
      <w:tblPr>
        <w:tblW w:w="4840" w:type="dxa"/>
        <w:jc w:val="left"/>
        <w:tblInd w:w="0" w:type="dxa"/>
        <w:tblLayout w:type="fixed"/>
        <w:tblCellMar>
          <w:top w:w="0" w:type="dxa"/>
          <w:left w:w="0" w:type="dxa"/>
          <w:bottom w:w="0" w:type="dxa"/>
          <w:right w:w="0" w:type="dxa"/>
        </w:tblCellMar>
      </w:tblPr>
      <w:tblGrid>
        <w:gridCol w:w="3755"/>
        <w:gridCol w:w="1085"/>
      </w:tblGrid>
      <w:tr>
        <w:trPr/>
        <w:tc>
          <w:tcPr>
            <w:tcW w:w="3755" w:type="dxa"/>
            <w:tcBorders/>
            <w:vAlign w:val="center"/>
          </w:tcPr>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6920 220th Street SW</w:t>
            </w:r>
          </w:p>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Mountlake Terrace, Washington</w:t>
            </w:r>
          </w:p>
        </w:tc>
        <w:tc>
          <w:tcPr>
            <w:tcW w:w="1085" w:type="dxa"/>
            <w:tcBorders/>
            <w:vAlign w:val="center"/>
          </w:tcPr>
          <w:p>
            <w:pPr>
              <w:pStyle w:val="TableContents"/>
              <w:bidi w:val="0"/>
              <w:spacing w:before="0" w:after="0"/>
              <w:jc w:val="left"/>
              <w:rPr/>
            </w:pPr>
            <w:r>
              <w:rPr/>
              <w:t> </w:t>
            </w:r>
          </w:p>
          <w:p>
            <w:pPr>
              <w:pStyle w:val="TableContents"/>
              <w:bidi w:val="0"/>
              <w:spacing w:before="0" w:after="0"/>
              <w:jc w:val="center"/>
              <w:rPr>
                <w:rFonts w:ascii="Times New Roman;Times;serif" w:hAnsi="Times New Roman;Times;serif"/>
                <w:b/>
                <w:sz w:val="24"/>
              </w:rPr>
            </w:pPr>
            <w:r>
              <w:rPr>
                <w:rFonts w:ascii="Times New Roman;Times;serif" w:hAnsi="Times New Roman;Times;serif"/>
                <w:b/>
                <w:sz w:val="24"/>
              </w:rPr>
              <w:t>98043</w:t>
            </w:r>
          </w:p>
        </w:tc>
      </w:tr>
      <w:tr>
        <w:trPr/>
        <w:tc>
          <w:tcPr>
            <w:tcW w:w="3755" w:type="dxa"/>
            <w:tcBorders/>
            <w:vAlign w:val="center"/>
          </w:tcPr>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(Address of principal executive offices)</w:t>
            </w:r>
          </w:p>
        </w:tc>
        <w:tc>
          <w:tcPr>
            <w:tcW w:w="1085" w:type="dxa"/>
            <w:tcBorders/>
            <w:vAlign w:val="center"/>
          </w:tcPr>
          <w:p>
            <w:pPr>
              <w:pStyle w:val="TableContents"/>
              <w:bidi w:val="0"/>
              <w:spacing w:before="0" w:after="0"/>
              <w:jc w:val="center"/>
              <w:rPr>
                <w:rFonts w:ascii="Times New Roman;Times;serif" w:hAnsi="Times New Roman;Times;serif"/>
                <w:sz w:val="24"/>
              </w:rPr>
            </w:pPr>
            <w:r>
              <w:rPr>
                <w:rFonts w:ascii="Times New Roman;Times;serif" w:hAnsi="Times New Roman;Times;serif"/>
                <w:sz w:val="24"/>
              </w:rPr>
              <w:t>(Zip Code)</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Registrant’s telephone number, including area code:  </w:t>
      </w:r>
      <w:r>
        <w:rPr>
          <w:rFonts w:ascii="Times New Roman;Times;serif" w:hAnsi="Times New Roman;Times;serif"/>
          <w:b/>
          <w:color w:val="000000"/>
          <w:sz w:val="24"/>
          <w:shd w:fill="FFFFFF" w:val="clear"/>
        </w:rPr>
        <w:t>(425) 771-5299</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Check the appropriate box below if the Form 8-K filing is intended to simultaneously satisfy the filing obligation of the registrant under any of the following provisions.</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360" w:right="0" w:hanging="0"/>
              <w:jc w:val="left"/>
              <w:rPr/>
            </w:pPr>
            <w:r>
              <w:rPr/>
              <w:t xml:space="preserve">☐   </w:t>
            </w:r>
            <w:r>
              <w:rPr>
                <w:rFonts w:ascii="Times New Roman;Times;serif" w:hAnsi="Times New Roman;Times;serif"/>
                <w:sz w:val="24"/>
              </w:rPr>
              <w:t>Written communications pursuant to Rule 425 under the Securities Act (17 CFR 230.425)</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360" w:right="0" w:hanging="0"/>
              <w:jc w:val="left"/>
              <w:rPr/>
            </w:pPr>
            <w:r>
              <w:rPr/>
              <w:t xml:space="preserve">☐    </w:t>
            </w:r>
            <w:r>
              <w:rPr>
                <w:rFonts w:ascii="Times New Roman;Times;serif" w:hAnsi="Times New Roman;Times;serif"/>
                <w:sz w:val="24"/>
              </w:rPr>
              <w:t>Soliciting material pursuant to Rule 14a-12 under the Exchange Act (17 CFR 240.14a-12)</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360" w:right="0" w:hanging="0"/>
              <w:jc w:val="left"/>
              <w:rPr/>
            </w:pPr>
            <w:r>
              <w:rPr/>
              <w:t xml:space="preserve">☐    </w:t>
            </w:r>
            <w:r>
              <w:rPr>
                <w:rFonts w:ascii="Times New Roman;Times;serif" w:hAnsi="Times New Roman;Times;serif"/>
                <w:sz w:val="24"/>
              </w:rPr>
              <w:t>Pre-commencement communications pursuant to Rule 14d-2(b) under the Exchange Act (17 CFR 240.14d-2(b))</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360" w:right="0" w:hanging="0"/>
              <w:jc w:val="left"/>
              <w:rPr/>
            </w:pPr>
            <w:r>
              <w:rPr/>
              <w:t xml:space="preserve">☐    </w:t>
            </w:r>
            <w:r>
              <w:rPr>
                <w:rFonts w:ascii="Times New Roman;Times;serif" w:hAnsi="Times New Roman;Times;serif"/>
                <w:sz w:val="24"/>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207"/>
        <w:ind w:left="0" w:right="335"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Securities registered pursuant to Section 12(b) of the Act:</w:t>
      </w:r>
    </w:p>
    <w:tbl>
      <w:tblPr>
        <w:tblW w:w="9513" w:type="dxa"/>
        <w:jc w:val="left"/>
        <w:tblInd w:w="0" w:type="dxa"/>
        <w:tblLayout w:type="fixed"/>
        <w:tblCellMar>
          <w:top w:w="0" w:type="dxa"/>
          <w:left w:w="0" w:type="dxa"/>
          <w:bottom w:w="28" w:type="dxa"/>
          <w:right w:w="0" w:type="dxa"/>
        </w:tblCellMar>
      </w:tblPr>
      <w:tblGrid>
        <w:gridCol w:w="3621"/>
        <w:gridCol w:w="60"/>
        <w:gridCol w:w="1866"/>
        <w:gridCol w:w="60"/>
        <w:gridCol w:w="3906"/>
      </w:tblGrid>
      <w:tr>
        <w:trPr/>
        <w:tc>
          <w:tcPr>
            <w:tcW w:w="3621" w:type="dxa"/>
            <w:tcBorders>
              <w:bottom w:val="single" w:sz="12" w:space="0" w:color="000000"/>
            </w:tcBorders>
            <w:vAlign w:val="center"/>
          </w:tcPr>
          <w:p>
            <w:pPr>
              <w:pStyle w:val="TableContents"/>
              <w:bidi w:val="0"/>
              <w:spacing w:before="0" w:after="0"/>
              <w:ind w:left="0" w:right="331" w:hanging="0"/>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66" w:type="dxa"/>
            <w:tcBorders>
              <w:bottom w:val="single" w:sz="12" w:space="0" w:color="000000"/>
            </w:tcBorders>
            <w:vAlign w:val="center"/>
          </w:tcPr>
          <w:p>
            <w:pPr>
              <w:pStyle w:val="TableContents"/>
              <w:bidi w:val="0"/>
              <w:spacing w:before="0" w:after="0"/>
              <w:ind w:left="0" w:right="331" w:hanging="0"/>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906" w:type="dxa"/>
            <w:tcBorders>
              <w:bottom w:val="single" w:sz="12" w:space="0" w:color="000000"/>
            </w:tcBorders>
            <w:vAlign w:val="center"/>
          </w:tcPr>
          <w:p>
            <w:pPr>
              <w:pStyle w:val="TableContents"/>
              <w:bidi w:val="0"/>
              <w:spacing w:before="0" w:after="0"/>
              <w:ind w:left="0" w:right="331"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21" w:type="dxa"/>
            <w:tcBorders/>
            <w:tcMar>
              <w:bottom w:w="0" w:type="dxa"/>
            </w:tcMar>
            <w:vAlign w:val="center"/>
          </w:tcPr>
          <w:p>
            <w:pPr>
              <w:pStyle w:val="TableContents"/>
              <w:bidi w:val="0"/>
              <w:spacing w:before="0" w:after="0"/>
              <w:ind w:left="0" w:right="331" w:hanging="0"/>
              <w:jc w:val="center"/>
              <w:rPr>
                <w:rFonts w:ascii="Times New Roman;Times;serif" w:hAnsi="Times New Roman;Times;serif"/>
                <w:sz w:val="20"/>
              </w:rPr>
            </w:pPr>
            <w:r>
              <w:rPr>
                <w:rFonts w:ascii="Times New Roman;Times;serif" w:hAnsi="Times New Roman;Times;serif"/>
                <w:sz w:val="20"/>
              </w:rPr>
              <w:t>Common Stock, par value $.01 per share</w:t>
            </w:r>
          </w:p>
        </w:tc>
        <w:tc>
          <w:tcPr>
            <w:tcW w:w="60" w:type="dxa"/>
            <w:tcBorders/>
            <w:tcMar>
              <w:bottom w:w="0" w:type="dxa"/>
            </w:tcMar>
            <w:vAlign w:val="center"/>
          </w:tcPr>
          <w:p>
            <w:pPr>
              <w:pStyle w:val="TableContents"/>
              <w:bidi w:val="0"/>
              <w:spacing w:before="0" w:after="283"/>
              <w:jc w:val="left"/>
              <w:rPr/>
            </w:pPr>
            <w:r>
              <w:rPr/>
              <w:t> </w:t>
            </w:r>
          </w:p>
        </w:tc>
        <w:tc>
          <w:tcPr>
            <w:tcW w:w="1866" w:type="dxa"/>
            <w:tcBorders/>
            <w:tcMar>
              <w:bottom w:w="0" w:type="dxa"/>
            </w:tcMar>
            <w:vAlign w:val="center"/>
          </w:tcPr>
          <w:p>
            <w:pPr>
              <w:pStyle w:val="TableContents"/>
              <w:bidi w:val="0"/>
              <w:spacing w:before="0" w:after="0"/>
              <w:ind w:left="0" w:right="331" w:hanging="0"/>
              <w:jc w:val="center"/>
              <w:rPr>
                <w:rFonts w:ascii="Times New Roman;Times;serif" w:hAnsi="Times New Roman;Times;serif"/>
                <w:sz w:val="20"/>
              </w:rPr>
            </w:pPr>
            <w:r>
              <w:rPr>
                <w:rFonts w:ascii="Times New Roman;Times;serif" w:hAnsi="Times New Roman;Times;serif"/>
                <w:sz w:val="20"/>
              </w:rPr>
              <w:t>FSBW</w:t>
            </w:r>
          </w:p>
        </w:tc>
        <w:tc>
          <w:tcPr>
            <w:tcW w:w="60" w:type="dxa"/>
            <w:tcBorders/>
            <w:tcMar>
              <w:bottom w:w="0" w:type="dxa"/>
            </w:tcMar>
            <w:vAlign w:val="center"/>
          </w:tcPr>
          <w:p>
            <w:pPr>
              <w:pStyle w:val="TableContents"/>
              <w:bidi w:val="0"/>
              <w:spacing w:before="0" w:after="283"/>
              <w:jc w:val="left"/>
              <w:rPr/>
            </w:pPr>
            <w:r>
              <w:rPr/>
              <w:t> </w:t>
            </w:r>
          </w:p>
        </w:tc>
        <w:tc>
          <w:tcPr>
            <w:tcW w:w="3906" w:type="dxa"/>
            <w:tcBorders/>
            <w:tcMar>
              <w:bottom w:w="0" w:type="dxa"/>
            </w:tcMar>
            <w:vAlign w:val="center"/>
          </w:tcPr>
          <w:p>
            <w:pPr>
              <w:pStyle w:val="TableContents"/>
              <w:bidi w:val="0"/>
              <w:spacing w:before="0" w:after="0"/>
              <w:ind w:left="0" w:right="331"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207"/>
        <w:jc w:val="left"/>
        <w:rPr/>
      </w:pPr>
      <w:r>
        <w:rPr/>
      </w:r>
    </w:p>
    <w:p>
      <w:pPr>
        <w:pStyle w:val="TextBody"/>
        <w:bidi w:val="0"/>
        <w:spacing w:before="0" w:after="207"/>
        <w:ind w:left="0" w:right="335" w:hanging="0"/>
        <w:jc w:val="left"/>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05"/>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Emerging growth company ☐</w:t>
      </w:r>
    </w:p>
    <w:p>
      <w:pPr>
        <w:pStyle w:val="TextBody"/>
        <w:bidi w:val="0"/>
        <w:spacing w:before="0" w:after="0"/>
        <w:jc w:val="left"/>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HorizontalLine"/>
        <w:bidi w:val="0"/>
        <w:spacing w:before="200" w:after="200"/>
        <w:jc w:val="left"/>
        <w:rPr/>
      </w:pPr>
      <w:r>
        <w:rPr/>
      </w:r>
    </w:p>
    <w:p>
      <w:pPr>
        <w:pStyle w:val="TextBody"/>
        <w:bidi w:val="0"/>
        <w:spacing w:before="0" w:after="0"/>
        <w:jc w:val="both"/>
        <w:rPr>
          <w:rFonts w:ascii="Times New Roman;Times;serif" w:hAnsi="Times New Roman;Times;serif"/>
          <w:b/>
          <w:color w:val="000000"/>
          <w:sz w:val="24"/>
          <w:u w:val="single"/>
          <w:shd w:fill="FFFFFF" w:val="clear"/>
        </w:rPr>
      </w:pPr>
      <w:r>
        <w:rPr>
          <w:rFonts w:ascii="Times New Roman;Times;serif" w:hAnsi="Times New Roman;Times;serif"/>
          <w:b/>
          <w:color w:val="000000"/>
          <w:sz w:val="24"/>
          <w:u w:val="single"/>
          <w:shd w:fill="FFFFFF" w:val="clear"/>
        </w:rPr>
        <w:t>Item 8.01.  Other Events</w:t>
      </w:r>
    </w:p>
    <w:p>
      <w:pPr>
        <w:pStyle w:val="TextBody"/>
        <w:bidi w:val="0"/>
        <w:spacing w:before="0" w:after="0"/>
        <w:jc w:val="left"/>
        <w:rPr/>
      </w:pPr>
      <w:r>
        <w:rPr/>
      </w:r>
    </w:p>
    <w:p>
      <w:pPr>
        <w:pStyle w:val="TextBody"/>
        <w:bidi w:val="0"/>
        <w:spacing w:before="0" w:after="0"/>
        <w:ind w:left="0" w:right="0" w:firstLine="54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Effective August 19, 2026, FS Bancorp, Inc., Mountlake Terrace, Washington (“FS Bancorp”), the parent company of 1st Security Bank of Washington, completed its previously announced acquisition of Pacific West Bancorp (“Pacific West Bancorp”), the parent company of Pacific West Bank, located in Portland, Oregon.  Pursuant to the Agreement and Plan of Merger dated February 25, 2026 (“the Merger Agreement”) by and between FS Bancorp and Pacific West Bancorp, Pacific West Bank was merged with and into FS Bancorp, with 1st Security Bank of Washington surviving the merger (the “Merger”), and Pacific West Bank was merged with and into 1st Security Bank of Washington, with 1st Security Bank of Washignton surviving the merger.  In connection with the transaction the aggregate consideration consisted of 430,176 shares of FS Bancorp common stock and $16,832,742 in cash. Pacific West shareholders had the right to elect shares of FS Bancorp common stock or cash, subject to proration as provided in the merger agreement.  Reference is made to the Merger Agreement, which was included as Exhibit 2.1 to the Registration Statement on Form S-4 filed by FS Bancorp with the Securities and Exchange Commission on June 29, 2026, which is incorporated herein by reference.</w:t>
      </w:r>
    </w:p>
    <w:p>
      <w:pPr>
        <w:pStyle w:val="TextBody"/>
        <w:bidi w:val="0"/>
        <w:spacing w:before="0" w:after="0"/>
        <w:jc w:val="left"/>
        <w:rPr/>
      </w:pPr>
      <w:r>
        <w:rPr/>
      </w:r>
    </w:p>
    <w:p>
      <w:pPr>
        <w:pStyle w:val="TextBody"/>
        <w:bidi w:val="0"/>
        <w:spacing w:before="0" w:after="0"/>
        <w:ind w:left="0" w:right="0" w:firstLine="54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On August 20, 2026, FS Bancorp issued the press release attached hereto as Exhibit 99.1 and incorporated herein by reference announcing the completion of its acquisition of Pacific West Bancorp.</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4"/>
          <w:u w:val="single"/>
          <w:shd w:fill="FFFFFF" w:val="clear"/>
        </w:rPr>
      </w:pPr>
      <w:r>
        <w:rPr>
          <w:rFonts w:ascii="Times New Roman;Times;serif" w:hAnsi="Times New Roman;Times;serif"/>
          <w:b/>
          <w:color w:val="000000"/>
          <w:sz w:val="24"/>
          <w:u w:val="single"/>
          <w:shd w:fill="FFFFFF" w:val="clear"/>
        </w:rPr>
        <w:t>Item 9.01  Financial Statements and Exhibits</w:t>
      </w:r>
    </w:p>
    <w:p>
      <w:pPr>
        <w:pStyle w:val="TextBody"/>
        <w:bidi w:val="0"/>
        <w:spacing w:before="0" w:after="0"/>
        <w:jc w:val="left"/>
        <w:rPr/>
      </w:pPr>
      <w:r>
        <w:rPr/>
      </w:r>
    </w:p>
    <w:p>
      <w:pPr>
        <w:pStyle w:val="TextBody"/>
        <w:bidi w:val="0"/>
        <w:spacing w:before="0" w:after="0"/>
        <w:ind w:left="0" w:right="0" w:firstLine="540"/>
        <w:jc w:val="both"/>
        <w:rPr>
          <w:rFonts w:ascii="Times New Roman;Times;serif" w:hAnsi="Times New Roman;Times;serif"/>
          <w:color w:val="000000"/>
          <w:sz w:val="20"/>
          <w:shd w:fill="FFFFFF" w:val="clear"/>
        </w:rPr>
      </w:pPr>
      <w:r>
        <w:rPr>
          <w:rFonts w:ascii="Times New Roman;Times;serif" w:hAnsi="Times New Roman;Times;serif"/>
          <w:color w:val="000000"/>
          <w:sz w:val="24"/>
          <w:shd w:fill="FFFFFF" w:val="clear"/>
        </w:rPr>
        <w:t>(d)</w:t>
      </w:r>
      <w:r>
        <w:rPr>
          <w:rFonts w:ascii="Times New Roman;Times;serif" w:hAnsi="Times New Roman;Times;serif"/>
          <w:color w:val="000000"/>
          <w:sz w:val="20"/>
          <w:shd w:fill="FFFFFF" w:val="clear"/>
        </w:rPr>
        <w:t xml:space="preserve">        </w:t>
      </w:r>
      <w:r>
        <w:rPr>
          <w:rFonts w:ascii="Times New Roman;Times;serif" w:hAnsi="Times New Roman;Times;serif"/>
          <w:color w:val="000000"/>
          <w:sz w:val="24"/>
          <w:shd w:fill="FFFFFF" w:val="clear"/>
        </w:rPr>
        <w:t>Exhibits</w:t>
      </w:r>
    </w:p>
    <w:p>
      <w:pPr>
        <w:pStyle w:val="TextBody"/>
        <w:bidi w:val="0"/>
        <w:spacing w:before="0" w:after="0"/>
        <w:jc w:val="left"/>
        <w:rPr/>
      </w:pPr>
      <w:r>
        <w:rPr/>
      </w:r>
    </w:p>
    <w:p>
      <w:pPr>
        <w:pStyle w:val="TextBody"/>
        <w:bidi w:val="0"/>
        <w:spacing w:before="0" w:after="0"/>
        <w:ind w:left="0" w:right="0" w:firstLine="540"/>
        <w:jc w:val="both"/>
        <w:rPr/>
      </w:pPr>
      <w:r>
        <w:rPr>
          <w:rFonts w:ascii="Times New Roman;Times;serif" w:hAnsi="Times New Roman;Times;serif"/>
          <w:color w:val="000000"/>
          <w:sz w:val="24"/>
          <w:shd w:fill="FFFFFF" w:val="clear"/>
        </w:rPr>
        <w:t>99.1</w:t>
      </w:r>
      <w:r>
        <w:rPr>
          <w:rFonts w:ascii="Times New Roman;Times;serif" w:hAnsi="Times New Roman;Times;serif"/>
          <w:color w:val="000000"/>
          <w:sz w:val="20"/>
          <w:shd w:fill="FFFFFF" w:val="clear"/>
        </w:rPr>
        <w:t xml:space="preserve">     </w:t>
      </w:r>
      <w:hyperlink w:anchor="ex99182026.htm">
        <w:r>
          <w:rPr>
            <w:rStyle w:val="InternetLink"/>
          </w:rPr>
          <w:t>Press Release of FS Bancorp, Inc. dated August 20, 2026</w:t>
        </w:r>
      </w:hyperlink>
      <w:r>
        <w:rPr>
          <w:rFonts w:ascii="Times New Roman;Times;serif" w:hAnsi="Times New Roman;Times;serif"/>
          <w:color w:val="000000"/>
          <w:sz w:val="24"/>
          <w:shd w:fill="FFFFFF" w:val="clear"/>
        </w:rPr>
        <w:t>.</w:t>
      </w:r>
    </w:p>
    <w:p>
      <w:pPr>
        <w:pStyle w:val="HorizontalLine"/>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SIGNATURES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r>
    </w:p>
    <w:tbl>
      <w:tblPr>
        <w:tblW w:w="5980" w:type="dxa"/>
        <w:jc w:val="left"/>
        <w:tblInd w:w="0" w:type="dxa"/>
        <w:tblLayout w:type="fixed"/>
        <w:tblCellMar>
          <w:top w:w="0" w:type="dxa"/>
          <w:left w:w="0" w:type="dxa"/>
          <w:bottom w:w="0" w:type="dxa"/>
          <w:right w:w="0" w:type="dxa"/>
        </w:tblCellMar>
      </w:tblPr>
      <w:tblGrid>
        <w:gridCol w:w="2300"/>
        <w:gridCol w:w="3680"/>
      </w:tblGrid>
      <w:tr>
        <w:trPr/>
        <w:tc>
          <w:tcPr>
            <w:tcW w:w="230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pPr>
            <w:r>
              <w:rPr>
                <w:rFonts w:ascii="Times New Roman;Times;serif" w:hAnsi="Times New Roman;Times;serif"/>
                <w:sz w:val="24"/>
              </w:rPr>
              <w:t>FS BANCORP, INC.</w:t>
            </w:r>
            <w:r>
              <w:rPr/>
              <w:t xml:space="preserve"> </w:t>
            </w:r>
          </w:p>
        </w:tc>
      </w:tr>
      <w:tr>
        <w:trPr/>
        <w:tc>
          <w:tcPr>
            <w:tcW w:w="230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pPr>
            <w:r>
              <w:rPr/>
              <w:t> </w:t>
            </w:r>
          </w:p>
        </w:tc>
      </w:tr>
      <w:tr>
        <w:trPr/>
        <w:tc>
          <w:tcPr>
            <w:tcW w:w="2300" w:type="dxa"/>
            <w:tcBorders/>
            <w:vAlign w:val="center"/>
          </w:tcPr>
          <w:p>
            <w:pPr>
              <w:pStyle w:val="TableContents"/>
              <w:bidi w:val="0"/>
              <w:spacing w:before="0" w:after="0"/>
              <w:ind w:left="0" w:right="0" w:hanging="0"/>
              <w:jc w:val="left"/>
              <w:rPr>
                <w:sz w:val="24"/>
              </w:rPr>
            </w:pPr>
            <w:r>
              <w:rPr>
                <w:rFonts w:ascii="Times New Roman;Times;serif" w:hAnsi="Times New Roman;Times;serif"/>
                <w:sz w:val="24"/>
              </w:rPr>
              <w:t>Date: August 20, 2026</w:t>
            </w:r>
            <w:r>
              <w:rPr>
                <w:sz w:val="24"/>
              </w:rPr>
              <w:t xml:space="preserve">  </w:t>
            </w:r>
          </w:p>
        </w:tc>
        <w:tc>
          <w:tcPr>
            <w:tcW w:w="3680" w:type="dxa"/>
            <w:tcBorders>
              <w:bottom w:val="single" w:sz="12" w:space="0" w:color="000000"/>
            </w:tcBorders>
            <w:tcMar>
              <w:bottom w:w="28" w:type="dxa"/>
            </w:tcMar>
            <w:vAlign w:val="center"/>
          </w:tcPr>
          <w:p>
            <w:pPr>
              <w:pStyle w:val="TableContents"/>
              <w:bidi w:val="0"/>
              <w:spacing w:before="0" w:after="0"/>
              <w:jc w:val="left"/>
              <w:rPr>
                <w:sz w:val="24"/>
              </w:rPr>
            </w:pPr>
            <w:r>
              <w:rPr>
                <w:sz w:val="24"/>
              </w:rPr>
              <w:t>/s/ Matthew D. Mullet</w:t>
            </w:r>
          </w:p>
        </w:tc>
      </w:tr>
      <w:tr>
        <w:trPr/>
        <w:tc>
          <w:tcPr>
            <w:tcW w:w="230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sz w:val="24"/>
              </w:rPr>
            </w:pPr>
            <w:r>
              <w:rPr>
                <w:sz w:val="24"/>
              </w:rPr>
              <w:t xml:space="preserve">Matthew D. Mullet </w:t>
            </w:r>
          </w:p>
        </w:tc>
      </w:tr>
      <w:tr>
        <w:trPr/>
        <w:tc>
          <w:tcPr>
            <w:tcW w:w="230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sz w:val="24"/>
              </w:rPr>
            </w:pPr>
            <w:r>
              <w:rPr>
                <w:sz w:val="24"/>
              </w:rPr>
              <w:t xml:space="preserve">President and Chief Executive Officer </w:t>
            </w:r>
          </w:p>
        </w:tc>
      </w:tr>
      <w:tr>
        <w:trPr/>
        <w:tc>
          <w:tcPr>
            <w:tcW w:w="230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pPr>
            <w:r>
              <w:rPr/>
              <w:t> </w:t>
            </w:r>
          </w:p>
        </w:tc>
      </w:tr>
    </w:tbl>
    <w:p>
      <w:pPr>
        <w:pStyle w:val="TextBody"/>
        <w:bidi w:val="0"/>
        <w:spacing w:before="0" w:after="0"/>
        <w:ind w:left="3600" w:right="0" w:hanging="0"/>
        <w:jc w:val="left"/>
        <w:rPr>
          <w:rFonts w:ascii="Times New Roman;Times;serif" w:hAnsi="Times New Roman;Times;serif"/>
          <w:sz w:val="24"/>
        </w:rPr>
      </w:pPr>
      <w:r>
        <w:rPr>
          <w:rFonts w:ascii="Times New Roman;Times;serif" w:hAnsi="Times New Roman;Times;serif"/>
          <w:sz w:val="24"/>
        </w:rPr>
      </w:r>
    </w:p>
    <w:p>
      <w:pPr>
        <w:pStyle w:val="HorizontalLine"/>
        <w:bidi w:val="0"/>
        <w:jc w:val="left"/>
        <w:rPr/>
      </w:pPr>
      <w:r>
        <w:rPr/>
      </w:r>
    </w:p>
    <w:p>
      <w:pPr>
        <w:pStyle w:val="TextBody"/>
        <w:bidi w:val="0"/>
        <w:spacing w:before="0" w:after="0"/>
        <w:jc w:val="right"/>
        <w:rPr>
          <w:rFonts w:ascii="Times New Roman;Times;serif" w:hAnsi="Times New Roman;Times;serif"/>
          <w:b/>
          <w:color w:val="000000"/>
          <w:sz w:val="24"/>
        </w:rPr>
      </w:pPr>
      <w:bookmarkStart w:id="0" w:name="ex99182026.htm"/>
      <w:bookmarkStart w:id="1" w:name="ksex99182026"/>
      <w:bookmarkEnd w:id="0"/>
      <w:bookmarkEnd w:id="1"/>
      <w:r>
        <w:rPr>
          <w:rFonts w:ascii="Times New Roman;Times;serif" w:hAnsi="Times New Roman;Times;serif"/>
          <w:b/>
          <w:color w:val="000000"/>
          <w:sz w:val="24"/>
        </w:rPr>
        <w:t>Exhibit 99.1</w:t>
      </w:r>
      <w:r>
        <w:br w:type="page"/>
      </w:r>
    </w:p>
    <w:p>
      <w:pPr>
        <w:pStyle w:val="TextBody"/>
        <w:bidi w:val="0"/>
        <w:spacing w:before="0" w:after="0"/>
        <w:jc w:val="right"/>
        <w:rPr>
          <w:b/>
          <w:sz w:val="24"/>
        </w:rPr>
      </w:pPr>
      <w:r>
        <w:rPr>
          <w:b/>
          <w:sz w:val="24"/>
        </w:rPr>
      </w:r>
    </w:p>
    <w:p>
      <w:pPr>
        <w:pStyle w:val="TextBody"/>
        <w:bidi w:val="0"/>
        <w:spacing w:before="0" w:after="0"/>
        <w:jc w:val="left"/>
        <w:rPr/>
      </w:pPr>
      <w:r>
        <w:rPr/>
      </w:r>
    </w:p>
    <w:p>
      <w:pPr>
        <w:pStyle w:val="TextBody"/>
        <w:bidi w:val="0"/>
        <w:spacing w:before="0" w:after="0"/>
        <w:jc w:val="left"/>
        <w:rPr>
          <w:color w:val="000000"/>
        </w:rPr>
      </w:pPr>
      <w:r>
        <w:rPr>
          <w:color w:val="000000"/>
        </w:rPr>
        <w:t> </w:t>
      </w:r>
      <w:r>
        <w:rPr>
          <w:color w:val="000000"/>
        </w:rPr>
        <w:drawing>
          <wp:inline distT="0" distB="0" distL="0" distR="0">
            <wp:extent cx="24669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66975" cy="26670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2"/>
        </w:rPr>
      </w:pPr>
      <w:r>
        <w:rPr>
          <w:rFonts w:ascii="Times New Roman;Times;serif" w:hAnsi="Times New Roman;Times;serif"/>
          <w:b/>
          <w:color w:val="000000"/>
          <w:sz w:val="22"/>
        </w:rPr>
        <w:t>FS Bancorp, Inc. Announces Completion of Acquisition of Pacific West Bancorp</w:t>
      </w:r>
    </w:p>
    <w:p>
      <w:pPr>
        <w:pStyle w:val="TextBody"/>
        <w:bidi w:val="0"/>
        <w:spacing w:before="0" w:after="0"/>
        <w:jc w:val="left"/>
        <w:rPr>
          <w:sz w:val="22"/>
        </w:rPr>
      </w:pPr>
      <w:r>
        <w:rPr>
          <w:sz w:val="22"/>
        </w:rPr>
      </w:r>
    </w:p>
    <w:p>
      <w:pPr>
        <w:pStyle w:val="TextBody"/>
        <w:bidi w:val="0"/>
        <w:spacing w:before="0" w:after="0"/>
        <w:jc w:val="left"/>
        <w:rPr>
          <w:rFonts w:ascii="Times New Roman;Times;serif" w:hAnsi="Times New Roman;Times;serif"/>
          <w:color w:val="000000"/>
          <w:sz w:val="22"/>
        </w:rPr>
      </w:pPr>
      <w:r>
        <w:rPr>
          <w:rFonts w:ascii="Times New Roman;Times;serif" w:hAnsi="Times New Roman;Times;serif"/>
          <w:color w:val="000000"/>
          <w:sz w:val="22"/>
        </w:rPr>
        <w:t>Mountlake Terrace, Washington August 20, 2026-- (NASDAQ : FSBW) FS Bancorp, Inc. (“FS Bancorp”), the parent company of 1st Security Bank of Washington, announced that effective August 19, 2026, it completed its previously announced acquisition of Pacific West Bancorp (“Pacific West”), an Oregon corporation and the merger of Pacific West Bank, the bank subsidiary of Pacific West, into 1st Security Bank of Washington.</w:t>
      </w:r>
    </w:p>
    <w:p>
      <w:pPr>
        <w:pStyle w:val="TextBody"/>
        <w:bidi w:val="0"/>
        <w:spacing w:before="0" w:after="0"/>
        <w:jc w:val="left"/>
        <w:rPr>
          <w:sz w:val="22"/>
        </w:rPr>
      </w:pPr>
      <w:r>
        <w:rPr>
          <w:sz w:val="22"/>
        </w:rPr>
      </w:r>
    </w:p>
    <w:p>
      <w:pPr>
        <w:pStyle w:val="TextBody"/>
        <w:bidi w:val="0"/>
        <w:spacing w:before="0" w:after="0"/>
        <w:jc w:val="left"/>
        <w:rPr>
          <w:rFonts w:ascii="Times New Roman;Times;serif" w:hAnsi="Times New Roman;Times;serif"/>
          <w:color w:val="000000"/>
          <w:sz w:val="22"/>
        </w:rPr>
      </w:pPr>
      <w:r>
        <w:rPr>
          <w:rFonts w:ascii="Times New Roman;Times;serif" w:hAnsi="Times New Roman;Times;serif"/>
          <w:color w:val="000000"/>
          <w:sz w:val="22"/>
        </w:rPr>
        <w:t>Matthew D. Mullet, President and Chief Executive Officer of FS Bancorp and 1st Security Bank of Washington, stated, “We are excited to welcome Pacific West Bank's customers, employees, and communities to the 1st Security Bank family. Both organizations share a commitment to relationship banking, providing exceptional customer service, and supporting the local businesses and communities we serve. This allows us to expand our presence in Oregon while remaining focused on the values that have guided our success for more than 100 years. Our Vision Statement remains constant: To Build a Truly Great Place to Work and Bank."</w:t>
      </w:r>
    </w:p>
    <w:p>
      <w:pPr>
        <w:pStyle w:val="TextBody"/>
        <w:bidi w:val="0"/>
        <w:spacing w:before="0" w:after="0"/>
        <w:jc w:val="left"/>
        <w:rPr>
          <w:sz w:val="22"/>
        </w:rPr>
      </w:pPr>
      <w:r>
        <w:rPr>
          <w:sz w:val="22"/>
        </w:rPr>
      </w:r>
    </w:p>
    <w:p>
      <w:pPr>
        <w:pStyle w:val="TextBody"/>
        <w:bidi w:val="0"/>
        <w:spacing w:before="0" w:after="0"/>
        <w:jc w:val="both"/>
        <w:rPr>
          <w:rFonts w:ascii="Times New Roman;Times;serif" w:hAnsi="Times New Roman;Times;serif"/>
          <w:color w:val="000000"/>
          <w:sz w:val="22"/>
        </w:rPr>
      </w:pPr>
      <w:r>
        <w:rPr>
          <w:rFonts w:ascii="Times New Roman;Times;serif" w:hAnsi="Times New Roman;Times;serif"/>
          <w:color w:val="000000"/>
          <w:sz w:val="22"/>
        </w:rPr>
        <w:t>Ed Kawasaki, Chairman of the Boards of Pacific West Bancorp and Pacific West Bank, stated, “On behalf of our Board and Banking Team, we wanted to extend our heartfelt thanks and appreciation to our customers and community for their support of our Bank, and furthermore, our confidence that the partnership with 1st Security Bank will continue serving you with the same values and conviction you’ve experienced over the past 20 years.”</w:t>
      </w:r>
    </w:p>
    <w:p>
      <w:pPr>
        <w:pStyle w:val="TextBody"/>
        <w:bidi w:val="0"/>
        <w:spacing w:before="0" w:after="0"/>
        <w:jc w:val="left"/>
        <w:rPr>
          <w:sz w:val="22"/>
        </w:rPr>
      </w:pPr>
      <w:r>
        <w:rPr>
          <w:sz w:val="22"/>
        </w:rPr>
      </w:r>
    </w:p>
    <w:p>
      <w:pPr>
        <w:pStyle w:val="TextBody"/>
        <w:bidi w:val="0"/>
        <w:spacing w:before="0" w:after="0"/>
        <w:jc w:val="both"/>
        <w:rPr>
          <w:rFonts w:ascii="Times New Roman;Times;serif" w:hAnsi="Times New Roman;Times;serif"/>
          <w:color w:val="000000"/>
          <w:sz w:val="22"/>
        </w:rPr>
      </w:pPr>
      <w:r>
        <w:rPr>
          <w:rFonts w:ascii="Times New Roman;Times;serif" w:hAnsi="Times New Roman;Times;serif"/>
          <w:color w:val="000000"/>
          <w:sz w:val="22"/>
        </w:rPr>
        <w:t>In connection with the transaction the aggregate consideration consisted of 430,176 shares of FS Bancorp common stock and $16,832,742 in cash. Pacific West shareholders had the right to elect shares of FS Bancorp common stock or cash, subject to proration as provided in the merger agreement.</w:t>
      </w:r>
    </w:p>
    <w:p>
      <w:pPr>
        <w:pStyle w:val="TextBody"/>
        <w:bidi w:val="0"/>
        <w:spacing w:before="0" w:after="0"/>
        <w:jc w:val="left"/>
        <w:rPr>
          <w:sz w:val="22"/>
        </w:rPr>
      </w:pPr>
      <w:r>
        <w:rPr>
          <w:sz w:val="22"/>
        </w:rPr>
      </w:r>
    </w:p>
    <w:p>
      <w:pPr>
        <w:pStyle w:val="TextBody"/>
        <w:bidi w:val="0"/>
        <w:spacing w:before="0" w:after="0"/>
        <w:jc w:val="left"/>
        <w:rPr>
          <w:sz w:val="22"/>
        </w:rPr>
      </w:pPr>
      <w:r>
        <w:rPr>
          <w:sz w:val="22"/>
        </w:rPr>
      </w:r>
    </w:p>
    <w:p>
      <w:pPr>
        <w:pStyle w:val="TextBody"/>
        <w:bidi w:val="0"/>
        <w:spacing w:before="0" w:after="0"/>
        <w:jc w:val="left"/>
        <w:rPr>
          <w:rFonts w:ascii="Times New Roman;Times;serif" w:hAnsi="Times New Roman;Times;serif"/>
          <w:b/>
          <w:color w:val="000000"/>
          <w:sz w:val="22"/>
        </w:rPr>
      </w:pPr>
      <w:r>
        <w:rPr>
          <w:rFonts w:ascii="Times New Roman;Times;serif" w:hAnsi="Times New Roman;Times;serif"/>
          <w:b/>
          <w:color w:val="000000"/>
          <w:sz w:val="22"/>
        </w:rPr>
        <w:t>About FS Bancorp</w:t>
      </w:r>
    </w:p>
    <w:p>
      <w:pPr>
        <w:pStyle w:val="TextBody"/>
        <w:bidi w:val="0"/>
        <w:spacing w:before="0" w:after="0"/>
        <w:jc w:val="left"/>
        <w:rPr>
          <w:color w:val="000000"/>
        </w:rPr>
      </w:pPr>
      <w:r>
        <w:rPr>
          <w:color w:val="000000"/>
        </w:rPr>
        <w:t> </w:t>
      </w:r>
    </w:p>
    <w:p>
      <w:pPr>
        <w:pStyle w:val="TextBody"/>
        <w:bidi w:val="0"/>
        <w:spacing w:before="0" w:after="0"/>
        <w:jc w:val="both"/>
        <w:rPr>
          <w:rFonts w:ascii="Times New Roman;Times;serif" w:hAnsi="Times New Roman;Times;serif"/>
          <w:color w:val="000000"/>
          <w:sz w:val="22"/>
        </w:rPr>
      </w:pPr>
      <w:r>
        <w:rPr>
          <w:rFonts w:ascii="Times New Roman;Times;serif" w:hAnsi="Times New Roman;Times;serif"/>
          <w:color w:val="000000"/>
          <w:sz w:val="22"/>
        </w:rPr>
        <w:t>FS Bancorp, Inc., a Washington corporation, is the holding company for 1st Security Bank of Washington. The Bank offers a range of loan and deposit services primarily to small- and middle-market businesses and individuals in Washington and Oregon. It operates through 28 bank branches, one headquarters office that provides loans and deposit services, and loan production offices in various suburban communities in the greater Puget Sound area, the Kennewick-Pasco-Richland metropolitan area of Washington, also known as the Tri-Cities, and in the greater Portland, Oregon market. Additionally, the Bank services home mortgage customers across the Northwest, focusing on markets in Washington State including the Puget Sound, Tri-Cities, and Vancouver.</w:t>
      </w:r>
    </w:p>
    <w:p>
      <w:pPr>
        <w:pStyle w:val="TextBody"/>
        <w:bidi w:val="0"/>
        <w:spacing w:before="0" w:after="0"/>
        <w:jc w:val="left"/>
        <w:rPr>
          <w:sz w:val="22"/>
        </w:rPr>
      </w:pPr>
      <w:r>
        <w:rPr>
          <w:sz w:val="22"/>
        </w:rPr>
      </w:r>
    </w:p>
    <w:p>
      <w:pPr>
        <w:pStyle w:val="TextBody"/>
        <w:bidi w:val="0"/>
        <w:spacing w:before="0" w:after="0"/>
        <w:jc w:val="left"/>
        <w:rPr>
          <w:rFonts w:ascii="Times New Roman;Times;serif" w:hAnsi="Times New Roman;Times;serif"/>
          <w:b/>
          <w:color w:val="000000"/>
          <w:sz w:val="22"/>
        </w:rPr>
      </w:pPr>
      <w:r>
        <w:rPr>
          <w:rFonts w:ascii="Times New Roman;Times;serif" w:hAnsi="Times New Roman;Times;serif"/>
          <w:b/>
          <w:color w:val="000000"/>
          <w:sz w:val="22"/>
        </w:rPr>
        <w:t>Note Regarding Forward Looking Statements</w:t>
      </w:r>
    </w:p>
    <w:p>
      <w:pPr>
        <w:pStyle w:val="TextBody"/>
        <w:bidi w:val="0"/>
        <w:spacing w:before="0" w:after="0"/>
        <w:jc w:val="left"/>
        <w:rPr>
          <w:rFonts w:ascii="Times New Roman;Times;serif" w:hAnsi="Times New Roman;Times;serif"/>
          <w:color w:val="000000"/>
          <w:sz w:val="22"/>
        </w:rPr>
      </w:pPr>
      <w:r>
        <w:rPr>
          <w:rFonts w:ascii="Times New Roman;Times;serif" w:hAnsi="Times New Roman;Times;serif"/>
          <w:color w:val="000000"/>
          <w:sz w:val="22"/>
        </w:rPr>
        <w:br/>
        <w:t>This news release includes forward-looking statements within the meaning of the Private Securities Litigation Reform Act of 1995, which can be identified by words such as "may," "expected," "anticipate," "continue," or other comparable words. In addition, all statements other than statements of historical facts that address activities that FS Bancorp expects or anticipates will or may occur in the future are forward-looking statements. Readers are encouraged to read the Securities and Exchange Commission reports of FS Bancorp, Inc., particularly the Form S-4 and its Form 10-K for the year ended December 31, 2025, for meaningful cautionary language discussing why actual results may vary materially from those anticipated by management. Specific risks in this press release include among other things: the expected cost savings, synergies and other financial benefits from the merger with Pacific West might not be realized within the expected time frames or at all, and costs or difficulties relating to integration matters might be greater than expected.</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b/>
          <w:color w:val="000000"/>
          <w:sz w:val="22"/>
        </w:rPr>
      </w:pPr>
      <w:r>
        <w:rPr>
          <w:rFonts w:ascii="Times New Roman;Times;serif" w:hAnsi="Times New Roman;Times;serif"/>
          <w:b/>
          <w:color w:val="000000"/>
          <w:sz w:val="22"/>
        </w:rPr>
        <w:t>Contacts:</w:t>
      </w:r>
    </w:p>
    <w:p>
      <w:pPr>
        <w:pStyle w:val="TextBody"/>
        <w:bidi w:val="0"/>
        <w:spacing w:before="0" w:after="0"/>
        <w:jc w:val="left"/>
        <w:rPr>
          <w:rFonts w:ascii="Times New Roman;Times;serif" w:hAnsi="Times New Roman;Times;serif"/>
          <w:color w:val="000000"/>
          <w:sz w:val="22"/>
        </w:rPr>
      </w:pPr>
      <w:r>
        <w:rPr>
          <w:rFonts w:ascii="Times New Roman;Times;serif" w:hAnsi="Times New Roman;Times;serif"/>
          <w:color w:val="000000"/>
          <w:sz w:val="22"/>
        </w:rPr>
        <w:t>Matthew D. Mullet,</w:t>
      </w:r>
    </w:p>
    <w:p>
      <w:pPr>
        <w:pStyle w:val="TextBody"/>
        <w:bidi w:val="0"/>
        <w:spacing w:before="0" w:after="0"/>
        <w:jc w:val="left"/>
        <w:rPr>
          <w:rFonts w:ascii="Times New Roman;Times;serif" w:hAnsi="Times New Roman;Times;serif"/>
          <w:color w:val="000000"/>
          <w:sz w:val="22"/>
        </w:rPr>
      </w:pPr>
      <w:r>
        <w:rPr>
          <w:rFonts w:ascii="Times New Roman;Times;serif" w:hAnsi="Times New Roman;Times;serif"/>
          <w:color w:val="000000"/>
          <w:sz w:val="22"/>
        </w:rPr>
        <w:t>President and Chief Executive Officer</w:t>
      </w:r>
    </w:p>
    <w:p>
      <w:pPr>
        <w:pStyle w:val="TextBody"/>
        <w:bidi w:val="0"/>
        <w:spacing w:before="0" w:after="0"/>
        <w:jc w:val="left"/>
        <w:rPr>
          <w:rFonts w:ascii="Times New Roman;Times;serif" w:hAnsi="Times New Roman;Times;serif"/>
          <w:color w:val="000000"/>
          <w:sz w:val="22"/>
        </w:rPr>
      </w:pPr>
      <w:r>
        <w:rPr>
          <w:rFonts w:ascii="Times New Roman;Times;serif" w:hAnsi="Times New Roman;Times;serif"/>
          <w:color w:val="000000"/>
          <w:sz w:val="22"/>
        </w:rPr>
        <w:t>Phillip D. Whittington,</w:t>
      </w:r>
    </w:p>
    <w:p>
      <w:pPr>
        <w:pStyle w:val="TextBody"/>
        <w:bidi w:val="0"/>
        <w:spacing w:before="0" w:after="0"/>
        <w:jc w:val="left"/>
        <w:rPr>
          <w:rFonts w:ascii="Times New Roman;Times;serif" w:hAnsi="Times New Roman;Times;serif"/>
          <w:color w:val="000000"/>
          <w:sz w:val="22"/>
        </w:rPr>
      </w:pPr>
      <w:r>
        <w:rPr>
          <w:rFonts w:ascii="Times New Roman;Times;serif" w:hAnsi="Times New Roman;Times;serif"/>
          <w:color w:val="000000"/>
          <w:sz w:val="22"/>
        </w:rPr>
        <w:t>Chief Financial Officer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2"/>
        </w:rPr>
      </w:pPr>
      <w:r>
        <w:rPr>
          <w:rFonts w:ascii="Times New Roman;Times;serif" w:hAnsi="Times New Roman;Times;serif"/>
          <w:color w:val="000000"/>
          <w:sz w:val="22"/>
        </w:rPr>
        <w:t>(425) 771-5299</w:t>
      </w:r>
    </w:p>
    <w:p>
      <w:pPr>
        <w:pStyle w:val="TextBody"/>
        <w:bidi w:val="0"/>
        <w:spacing w:before="0" w:after="0"/>
        <w:jc w:val="left"/>
        <w:rPr>
          <w:rFonts w:ascii="Times New Roman;Times;serif" w:hAnsi="Times New Roman;Times;serif"/>
          <w:b/>
          <w:color w:val="000000"/>
          <w:sz w:val="22"/>
        </w:rPr>
      </w:pPr>
      <w:r>
        <w:rPr>
          <w:rFonts w:ascii="Times New Roman;Times;serif" w:hAnsi="Times New Roman;Times;serif"/>
          <w:b/>
          <w:color w:val="000000"/>
          <w:sz w:val="22"/>
        </w:rPr>
        <w:t>www.FSBWA.com</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283"/>
        <w:jc w:val="left"/>
        <w:rPr>
          <w:rFonts w:ascii="Times New Roman;Times;serif" w:hAnsi="Times New Roman;Times;serif"/>
          <w:b/>
          <w:sz w:val="22"/>
        </w:rPr>
      </w:pPr>
      <w:r>
        <w:rPr>
          <w:rFonts w:ascii="Times New Roman;Times;serif" w:hAnsi="Times New Roman;Times;serif"/>
          <w:b/>
          <w:sz w:val="22"/>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1177</Words>
  <Characters>6534</Characters>
  <CharactersWithSpaces>7700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